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8F8F" w14:textId="4EE385E9" w:rsidR="00E17C47" w:rsidRDefault="00E17C47" w:rsidP="000238B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5829D91" w14:textId="77777777" w:rsidR="000238B6" w:rsidRDefault="000238B6" w:rsidP="000238B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1C6CB33" w14:textId="77777777" w:rsidR="008E191B" w:rsidRDefault="008B50E5" w:rsidP="00C448FF">
      <w:pPr>
        <w:pStyle w:val="Bezodstpw"/>
        <w:jc w:val="both"/>
        <w:rPr>
          <w:rFonts w:ascii="Times" w:hAnsi="Times"/>
          <w:b/>
          <w:bCs/>
          <w:color w:val="C00000"/>
          <w:sz w:val="20"/>
          <w:szCs w:val="20"/>
          <w:lang w:val="en-US"/>
        </w:rPr>
      </w:pPr>
      <w:r w:rsidRPr="008B50E5">
        <w:rPr>
          <w:rFonts w:ascii="Times" w:hAnsi="Times"/>
          <w:b/>
          <w:bCs/>
          <w:color w:val="C00000"/>
          <w:sz w:val="20"/>
          <w:szCs w:val="20"/>
          <w:lang w:val="en-US"/>
        </w:rPr>
        <w:t>The author and reviewers shall not know the identities of one another (double-blind review process).</w:t>
      </w:r>
      <w:r w:rsidR="00C448FF">
        <w:rPr>
          <w:rFonts w:ascii="Times" w:hAnsi="Times"/>
          <w:b/>
          <w:bCs/>
          <w:color w:val="C00000"/>
          <w:sz w:val="20"/>
          <w:szCs w:val="20"/>
          <w:lang w:val="en-US"/>
        </w:rPr>
        <w:t xml:space="preserve"> </w:t>
      </w:r>
      <w:r w:rsidR="00C448FF" w:rsidRPr="00C448FF">
        <w:rPr>
          <w:rFonts w:ascii="Times" w:hAnsi="Times"/>
          <w:b/>
          <w:bCs/>
          <w:color w:val="C00000"/>
          <w:sz w:val="20"/>
          <w:szCs w:val="20"/>
          <w:lang w:val="en-US"/>
        </w:rPr>
        <w:t>Before sending the text to be peer-reviewed, the Editorial Board removes all the data that would make it possible to identify the author of the manuscript</w:t>
      </w:r>
      <w:r w:rsidR="00C448FF">
        <w:rPr>
          <w:rFonts w:ascii="Times" w:hAnsi="Times"/>
          <w:b/>
          <w:bCs/>
          <w:color w:val="C00000"/>
          <w:sz w:val="20"/>
          <w:szCs w:val="20"/>
          <w:lang w:val="en-US"/>
        </w:rPr>
        <w:t xml:space="preserve">. </w:t>
      </w:r>
    </w:p>
    <w:p w14:paraId="40081E9B" w14:textId="77777777" w:rsidR="00DC7018" w:rsidRDefault="00DC7018" w:rsidP="00C448FF">
      <w:pPr>
        <w:pStyle w:val="Bezodstpw"/>
        <w:jc w:val="both"/>
        <w:rPr>
          <w:rFonts w:ascii="Times" w:hAnsi="Times"/>
          <w:b/>
          <w:bCs/>
          <w:color w:val="C00000"/>
          <w:sz w:val="20"/>
          <w:szCs w:val="20"/>
          <w:lang w:val="en-US"/>
        </w:rPr>
      </w:pPr>
    </w:p>
    <w:p w14:paraId="6013A789" w14:textId="2A8EB6D0" w:rsidR="008B50E5" w:rsidRPr="008B50E5" w:rsidRDefault="00DB55B6" w:rsidP="00C448FF">
      <w:pPr>
        <w:pStyle w:val="Bezodstpw"/>
        <w:jc w:val="both"/>
        <w:rPr>
          <w:rFonts w:ascii="Times" w:hAnsi="Times"/>
          <w:b/>
          <w:bCs/>
          <w:color w:val="C00000"/>
          <w:sz w:val="20"/>
          <w:szCs w:val="20"/>
          <w:lang w:val="en-US"/>
        </w:rPr>
      </w:pPr>
      <w:r w:rsidRPr="00DB55B6">
        <w:rPr>
          <w:rFonts w:ascii="Times" w:hAnsi="Times"/>
          <w:b/>
          <w:bCs/>
          <w:color w:val="C00000"/>
          <w:sz w:val="20"/>
          <w:szCs w:val="20"/>
          <w:lang w:val="en-US"/>
        </w:rPr>
        <w:t xml:space="preserve">The commentaries (glosses) shall be published in </w:t>
      </w:r>
      <w:r w:rsidR="000D4279">
        <w:rPr>
          <w:rFonts w:ascii="Times" w:hAnsi="Times"/>
          <w:b/>
          <w:bCs/>
          <w:color w:val="C00000"/>
          <w:sz w:val="20"/>
          <w:szCs w:val="20"/>
          <w:lang w:val="en-US"/>
        </w:rPr>
        <w:t>English</w:t>
      </w:r>
      <w:r w:rsidRPr="00DB55B6">
        <w:rPr>
          <w:rFonts w:ascii="Times" w:hAnsi="Times"/>
          <w:b/>
          <w:bCs/>
          <w:color w:val="C00000"/>
          <w:sz w:val="20"/>
          <w:szCs w:val="20"/>
          <w:lang w:val="en-US"/>
        </w:rPr>
        <w:t xml:space="preserve"> or in </w:t>
      </w:r>
      <w:r w:rsidR="000D4279">
        <w:rPr>
          <w:rFonts w:ascii="Times" w:hAnsi="Times"/>
          <w:b/>
          <w:bCs/>
          <w:color w:val="C00000"/>
          <w:sz w:val="20"/>
          <w:szCs w:val="20"/>
          <w:lang w:val="en-US"/>
        </w:rPr>
        <w:t>Polish (a</w:t>
      </w:r>
      <w:r w:rsidR="000D4279" w:rsidRPr="000D4279">
        <w:rPr>
          <w:rFonts w:ascii="Times" w:hAnsi="Times"/>
          <w:b/>
          <w:bCs/>
          <w:color w:val="C00000"/>
          <w:sz w:val="20"/>
          <w:szCs w:val="20"/>
          <w:lang w:val="en-US"/>
        </w:rPr>
        <w:t>s a rule</w:t>
      </w:r>
      <w:r w:rsidR="000D4279">
        <w:rPr>
          <w:rFonts w:ascii="Times" w:hAnsi="Times"/>
          <w:b/>
          <w:bCs/>
          <w:color w:val="C00000"/>
          <w:sz w:val="20"/>
          <w:szCs w:val="20"/>
          <w:lang w:val="en-US"/>
        </w:rPr>
        <w:t>),</w:t>
      </w:r>
      <w:r>
        <w:rPr>
          <w:rFonts w:ascii="Times" w:hAnsi="Times"/>
          <w:b/>
          <w:bCs/>
          <w:color w:val="C00000"/>
          <w:sz w:val="20"/>
          <w:szCs w:val="20"/>
          <w:lang w:val="en-US"/>
        </w:rPr>
        <w:t xml:space="preserve"> </w:t>
      </w:r>
      <w:r w:rsidR="000D4279" w:rsidRPr="000D4279">
        <w:rPr>
          <w:rFonts w:ascii="Times" w:hAnsi="Times"/>
          <w:b/>
          <w:bCs/>
          <w:color w:val="C00000"/>
          <w:sz w:val="20"/>
          <w:szCs w:val="20"/>
          <w:lang w:val="en-US"/>
        </w:rPr>
        <w:t>due to the practical nature of this form of publication and the specificity of the Polish legal language, and thus the possibility to pursue a regular dialogue between the courts and legal scholars.</w:t>
      </w:r>
    </w:p>
    <w:p w14:paraId="0AACBC1B" w14:textId="77777777" w:rsidR="008B50E5" w:rsidRDefault="008B50E5" w:rsidP="000238B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8AC23FE" w14:textId="3AB69CDE" w:rsidR="000238B6" w:rsidRPr="00EA1110" w:rsidRDefault="000238B6" w:rsidP="000238B6">
      <w:pPr>
        <w:spacing w:after="0" w:line="360" w:lineRule="auto"/>
        <w:contextualSpacing/>
        <w:jc w:val="both"/>
        <w:rPr>
          <w:rFonts w:ascii="Times" w:hAnsi="Times"/>
          <w:color w:val="808080" w:themeColor="background1" w:themeShade="80"/>
          <w:sz w:val="28"/>
          <w:szCs w:val="28"/>
          <w:lang w:val="en-US"/>
        </w:rPr>
      </w:pPr>
      <w:r w:rsidRPr="00907AAC">
        <w:rPr>
          <w:rFonts w:ascii="Times New Roman" w:hAnsi="Times New Roman"/>
          <w:sz w:val="24"/>
          <w:szCs w:val="24"/>
          <w:lang w:val="en-US"/>
        </w:rPr>
        <w:t xml:space="preserve">John </w:t>
      </w:r>
      <w:r w:rsidR="00907AAC" w:rsidRPr="00907AAC">
        <w:rPr>
          <w:rFonts w:ascii="Times New Roman" w:hAnsi="Times New Roman"/>
          <w:sz w:val="24"/>
          <w:szCs w:val="24"/>
          <w:lang w:val="en-US"/>
        </w:rPr>
        <w:t>S</w:t>
      </w:r>
      <w:r w:rsidR="00907AAC">
        <w:rPr>
          <w:rFonts w:ascii="Times New Roman" w:hAnsi="Times New Roman"/>
          <w:sz w:val="24"/>
          <w:szCs w:val="24"/>
          <w:lang w:val="en-US"/>
        </w:rPr>
        <w:t xml:space="preserve">mith </w:t>
      </w:r>
      <w:r w:rsidR="00EA1110" w:rsidRPr="00EA1110">
        <w:rPr>
          <w:rFonts w:ascii="Times" w:hAnsi="Times"/>
          <w:color w:val="808080"/>
          <w:sz w:val="24"/>
          <w:szCs w:val="24"/>
        </w:rPr>
        <w:t>(</w:t>
      </w:r>
      <w:r w:rsidR="00E05FCE" w:rsidRPr="00E05FCE">
        <w:rPr>
          <w:rFonts w:ascii="Times" w:hAnsi="Times"/>
          <w:color w:val="808080"/>
          <w:sz w:val="24"/>
          <w:szCs w:val="24"/>
        </w:rPr>
        <w:t xml:space="preserve">Name Surname </w:t>
      </w:r>
      <w:r w:rsidR="00E05FCE">
        <w:rPr>
          <w:rFonts w:ascii="Times" w:hAnsi="Times"/>
          <w:color w:val="808080"/>
          <w:sz w:val="24"/>
          <w:szCs w:val="24"/>
        </w:rPr>
        <w:t xml:space="preserve">- </w:t>
      </w:r>
      <w:r w:rsidR="00EA1110" w:rsidRPr="00EA1110">
        <w:rPr>
          <w:rFonts w:ascii="Times" w:hAnsi="Times"/>
          <w:color w:val="808080"/>
          <w:sz w:val="24"/>
          <w:szCs w:val="24"/>
        </w:rPr>
        <w:t>Times New Roman, 1</w:t>
      </w:r>
      <w:r w:rsidR="00EA1110">
        <w:rPr>
          <w:rFonts w:ascii="Times" w:hAnsi="Times"/>
          <w:color w:val="808080"/>
          <w:sz w:val="24"/>
          <w:szCs w:val="24"/>
        </w:rPr>
        <w:t>2</w:t>
      </w:r>
      <w:r w:rsidR="00EA1110" w:rsidRPr="00EA1110">
        <w:rPr>
          <w:rFonts w:ascii="Times" w:hAnsi="Times"/>
          <w:color w:val="808080"/>
          <w:sz w:val="24"/>
          <w:szCs w:val="24"/>
        </w:rPr>
        <w:t xml:space="preserve"> </w:t>
      </w:r>
      <w:proofErr w:type="spellStart"/>
      <w:r w:rsidR="00EA1110" w:rsidRPr="00EA1110">
        <w:rPr>
          <w:rFonts w:ascii="Times" w:hAnsi="Times"/>
          <w:color w:val="808080"/>
          <w:sz w:val="24"/>
          <w:szCs w:val="24"/>
        </w:rPr>
        <w:t>pt</w:t>
      </w:r>
      <w:proofErr w:type="spellEnd"/>
      <w:r w:rsidR="00EA1110" w:rsidRPr="00EA1110">
        <w:rPr>
          <w:rFonts w:ascii="Times" w:hAnsi="Times"/>
          <w:color w:val="808080"/>
          <w:sz w:val="24"/>
          <w:szCs w:val="24"/>
        </w:rPr>
        <w:t>)</w:t>
      </w:r>
    </w:p>
    <w:p w14:paraId="7EEDC706" w14:textId="113B3C8E" w:rsidR="000238B6" w:rsidRPr="00EA1110" w:rsidRDefault="000238B6" w:rsidP="000238B6">
      <w:pPr>
        <w:spacing w:after="0" w:line="360" w:lineRule="auto"/>
        <w:contextualSpacing/>
        <w:jc w:val="both"/>
        <w:rPr>
          <w:rFonts w:ascii="Times New Roman" w:hAnsi="Times New Roman"/>
          <w:color w:val="808080" w:themeColor="background1" w:themeShade="80"/>
          <w:sz w:val="20"/>
          <w:szCs w:val="20"/>
          <w:lang w:val="en-US"/>
        </w:rPr>
      </w:pPr>
      <w:r w:rsidRPr="00907AAC">
        <w:rPr>
          <w:rFonts w:ascii="Times New Roman" w:hAnsi="Times New Roman"/>
          <w:sz w:val="20"/>
          <w:szCs w:val="20"/>
          <w:lang w:val="en-US"/>
        </w:rPr>
        <w:t>Maria Curie-</w:t>
      </w:r>
      <w:proofErr w:type="spellStart"/>
      <w:r w:rsidRPr="00907AAC">
        <w:rPr>
          <w:rFonts w:ascii="Times New Roman" w:hAnsi="Times New Roman"/>
          <w:sz w:val="20"/>
          <w:szCs w:val="20"/>
          <w:lang w:val="en-US"/>
        </w:rPr>
        <w:t>Skłodowska</w:t>
      </w:r>
      <w:proofErr w:type="spellEnd"/>
      <w:r w:rsidRPr="00907AAC">
        <w:rPr>
          <w:rFonts w:ascii="Times New Roman" w:hAnsi="Times New Roman"/>
          <w:sz w:val="20"/>
          <w:szCs w:val="20"/>
          <w:lang w:val="en-US"/>
        </w:rPr>
        <w:t xml:space="preserve"> University, Poland</w:t>
      </w:r>
      <w:r w:rsidR="00EA1110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A1110" w:rsidRPr="00EA1110">
        <w:rPr>
          <w:rFonts w:ascii="Times New Roman" w:hAnsi="Times New Roman"/>
          <w:color w:val="808080" w:themeColor="background1" w:themeShade="80"/>
          <w:sz w:val="20"/>
          <w:szCs w:val="20"/>
          <w:lang w:val="en-US"/>
        </w:rPr>
        <w:t>(</w:t>
      </w:r>
      <w:r w:rsidR="00E232C0" w:rsidRPr="00E232C0">
        <w:rPr>
          <w:rFonts w:ascii="Times New Roman" w:hAnsi="Times New Roman"/>
          <w:color w:val="808080" w:themeColor="background1" w:themeShade="80"/>
          <w:sz w:val="20"/>
          <w:szCs w:val="20"/>
          <w:lang w:val="en-US"/>
        </w:rPr>
        <w:t>affiliation</w:t>
      </w:r>
      <w:r w:rsidR="00E232C0">
        <w:rPr>
          <w:rFonts w:ascii="Times New Roman" w:hAnsi="Times New Roman"/>
          <w:color w:val="808080" w:themeColor="background1" w:themeShade="80"/>
          <w:sz w:val="20"/>
          <w:szCs w:val="20"/>
          <w:lang w:val="en-US"/>
        </w:rPr>
        <w:t xml:space="preserve"> - </w:t>
      </w:r>
      <w:r w:rsidR="00EA1110" w:rsidRPr="00EA1110">
        <w:rPr>
          <w:rFonts w:ascii="Times New Roman" w:hAnsi="Times New Roman"/>
          <w:color w:val="808080" w:themeColor="background1" w:themeShade="80"/>
          <w:sz w:val="20"/>
          <w:szCs w:val="20"/>
          <w:lang w:val="en-US"/>
        </w:rPr>
        <w:t xml:space="preserve">Times New Roman, 10 </w:t>
      </w:r>
      <w:proofErr w:type="spellStart"/>
      <w:r w:rsidR="00EA1110" w:rsidRPr="00EA1110">
        <w:rPr>
          <w:rFonts w:ascii="Times New Roman" w:hAnsi="Times New Roman"/>
          <w:color w:val="808080" w:themeColor="background1" w:themeShade="80"/>
          <w:sz w:val="20"/>
          <w:szCs w:val="20"/>
          <w:lang w:val="en-US"/>
        </w:rPr>
        <w:t>pt</w:t>
      </w:r>
      <w:proofErr w:type="spellEnd"/>
      <w:r w:rsidR="00EA1110" w:rsidRPr="00EA1110">
        <w:rPr>
          <w:rFonts w:ascii="Times New Roman" w:hAnsi="Times New Roman"/>
          <w:color w:val="808080" w:themeColor="background1" w:themeShade="80"/>
          <w:sz w:val="20"/>
          <w:szCs w:val="20"/>
          <w:lang w:val="en-US"/>
        </w:rPr>
        <w:t>)</w:t>
      </w:r>
    </w:p>
    <w:p w14:paraId="02F925D9" w14:textId="766CE612" w:rsidR="000238B6" w:rsidRPr="003C697D" w:rsidRDefault="000238B6" w:rsidP="000238B6">
      <w:pPr>
        <w:spacing w:after="0" w:line="360" w:lineRule="auto"/>
        <w:contextualSpacing/>
        <w:jc w:val="both"/>
        <w:rPr>
          <w:rFonts w:ascii="Times New Roman" w:hAnsi="Times New Roman"/>
          <w:color w:val="808080" w:themeColor="background1" w:themeShade="80"/>
          <w:sz w:val="20"/>
          <w:szCs w:val="20"/>
        </w:rPr>
      </w:pPr>
      <w:r w:rsidRPr="00A567D8">
        <w:rPr>
          <w:rFonts w:ascii="Times New Roman" w:hAnsi="Times New Roman"/>
          <w:sz w:val="20"/>
          <w:szCs w:val="20"/>
        </w:rPr>
        <w:t>ORCID: 0000-000</w:t>
      </w:r>
      <w:r>
        <w:rPr>
          <w:rFonts w:ascii="Times New Roman" w:hAnsi="Times New Roman"/>
          <w:sz w:val="20"/>
          <w:szCs w:val="20"/>
        </w:rPr>
        <w:t>0</w:t>
      </w:r>
      <w:r w:rsidRPr="00A567D8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0000</w:t>
      </w:r>
      <w:r w:rsidRPr="00A567D8">
        <w:rPr>
          <w:rFonts w:ascii="Times New Roman" w:hAnsi="Times New Roman"/>
          <w:sz w:val="20"/>
          <w:szCs w:val="20"/>
        </w:rPr>
        <w:t>-0</w:t>
      </w:r>
      <w:r>
        <w:rPr>
          <w:rFonts w:ascii="Times New Roman" w:hAnsi="Times New Roman"/>
          <w:sz w:val="20"/>
          <w:szCs w:val="20"/>
        </w:rPr>
        <w:t>000</w:t>
      </w:r>
      <w:r w:rsidR="00EA1110">
        <w:rPr>
          <w:rFonts w:ascii="Times New Roman" w:hAnsi="Times New Roman"/>
          <w:sz w:val="20"/>
          <w:szCs w:val="20"/>
        </w:rPr>
        <w:t xml:space="preserve"> </w:t>
      </w:r>
      <w:r w:rsidR="003C697D"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(Times New Roman, 10 </w:t>
      </w:r>
      <w:proofErr w:type="spellStart"/>
      <w:r w:rsidR="003C697D"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>pt</w:t>
      </w:r>
      <w:proofErr w:type="spellEnd"/>
      <w:r w:rsidR="003C697D"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>)</w:t>
      </w:r>
    </w:p>
    <w:p w14:paraId="2B2DA244" w14:textId="1A36AF98" w:rsidR="000238B6" w:rsidRDefault="000238B6" w:rsidP="000238B6">
      <w:pPr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Pr="00A567D8">
        <w:rPr>
          <w:rFonts w:ascii="Times New Roman" w:hAnsi="Times New Roman"/>
          <w:sz w:val="20"/>
          <w:szCs w:val="20"/>
        </w:rPr>
        <w:t>.</w:t>
      </w:r>
      <w:r w:rsidR="0027727E">
        <w:rPr>
          <w:rFonts w:ascii="Times New Roman" w:hAnsi="Times New Roman"/>
          <w:sz w:val="20"/>
          <w:szCs w:val="20"/>
        </w:rPr>
        <w:t>smith</w:t>
      </w:r>
      <w:r w:rsidRPr="00A567D8">
        <w:rPr>
          <w:rFonts w:ascii="Times New Roman" w:hAnsi="Times New Roman"/>
          <w:sz w:val="20"/>
          <w:szCs w:val="20"/>
        </w:rPr>
        <w:t>@umcs.pl</w:t>
      </w:r>
      <w:r w:rsidR="003C697D">
        <w:rPr>
          <w:rFonts w:ascii="Times New Roman" w:hAnsi="Times New Roman"/>
          <w:sz w:val="20"/>
          <w:szCs w:val="20"/>
        </w:rPr>
        <w:t xml:space="preserve"> </w:t>
      </w:r>
      <w:r w:rsidR="003C697D"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>(</w:t>
      </w:r>
      <w:r w:rsidR="005C1D02" w:rsidRPr="005C1D02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e-mail address </w:t>
      </w:r>
      <w:r w:rsidR="005C1D02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- </w:t>
      </w:r>
      <w:r w:rsidR="003C697D"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Times New Roman, 10 </w:t>
      </w:r>
      <w:proofErr w:type="spellStart"/>
      <w:r w:rsidR="003C697D"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>pt</w:t>
      </w:r>
      <w:proofErr w:type="spellEnd"/>
      <w:r w:rsidR="003C697D"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>)</w:t>
      </w:r>
    </w:p>
    <w:p w14:paraId="3238F01E" w14:textId="05D500A3" w:rsidR="000238B6" w:rsidRDefault="000238B6" w:rsidP="000238B6">
      <w:pPr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7862C61" w14:textId="516163CC" w:rsidR="00914ADF" w:rsidRDefault="00914ADF" w:rsidP="000238B6">
      <w:pPr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64AE319" w14:textId="77777777" w:rsidR="00A9614A" w:rsidRPr="00A9614A" w:rsidRDefault="00914ADF" w:rsidP="00914ADF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9614A">
        <w:rPr>
          <w:rFonts w:ascii="Times New Roman" w:hAnsi="Times New Roman"/>
          <w:sz w:val="24"/>
          <w:szCs w:val="24"/>
        </w:rPr>
        <w:t xml:space="preserve">Title of </w:t>
      </w:r>
      <w:r w:rsidR="00112A35" w:rsidRPr="00A9614A">
        <w:rPr>
          <w:rFonts w:ascii="Times New Roman" w:hAnsi="Times New Roman"/>
          <w:sz w:val="24"/>
          <w:szCs w:val="24"/>
        </w:rPr>
        <w:t>the commentary on a judicial decision (gloss)</w:t>
      </w:r>
      <w:r w:rsidR="00A9614A" w:rsidRPr="00A9614A">
        <w:rPr>
          <w:rFonts w:ascii="Times New Roman" w:hAnsi="Times New Roman"/>
          <w:sz w:val="24"/>
          <w:szCs w:val="24"/>
        </w:rPr>
        <w:t xml:space="preserve"> </w:t>
      </w:r>
    </w:p>
    <w:p w14:paraId="0BB7A363" w14:textId="6B040DD9" w:rsidR="00914ADF" w:rsidRDefault="00546B35" w:rsidP="00914AD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46B35">
        <w:rPr>
          <w:rFonts w:ascii="Times New Roman" w:hAnsi="Times New Roman"/>
          <w:sz w:val="24"/>
          <w:szCs w:val="24"/>
        </w:rPr>
        <w:t>Example:</w:t>
      </w:r>
      <w:r w:rsidR="00A961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9614A" w:rsidRPr="00A9614A">
        <w:rPr>
          <w:rFonts w:ascii="Times New Roman" w:hAnsi="Times New Roman"/>
          <w:b/>
          <w:bCs/>
          <w:sz w:val="24"/>
          <w:szCs w:val="24"/>
        </w:rPr>
        <w:t>The Mining Support May Be Classified as a Separate to Post-Mining Pit Retaining Structure and is Subjected to the Property Tax: The Approving Gloss to the Judgement of the Supreme Administrative Court of 10 January 2020 (II FSK 532/18 LEX no. 2777589)</w:t>
      </w:r>
    </w:p>
    <w:p w14:paraId="203E6BCB" w14:textId="2CCFBBEE" w:rsidR="00914ADF" w:rsidRPr="00E500F9" w:rsidRDefault="00914ADF" w:rsidP="00914AD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</w:pPr>
      <w:r w:rsidRPr="00E500F9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 xml:space="preserve">(Times New Roman, 12 </w:t>
      </w:r>
      <w:proofErr w:type="spellStart"/>
      <w:r w:rsidRPr="00E500F9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pt</w:t>
      </w:r>
      <w:proofErr w:type="spellEnd"/>
      <w:r w:rsidRPr="00E500F9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 xml:space="preserve">, </w:t>
      </w:r>
      <w:r w:rsidR="00111FB0" w:rsidRPr="00E500F9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B</w:t>
      </w:r>
      <w:r w:rsidRPr="00E500F9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old)</w:t>
      </w:r>
    </w:p>
    <w:p w14:paraId="098A81EF" w14:textId="77777777" w:rsidR="000238B6" w:rsidRPr="00A567D8" w:rsidRDefault="000238B6" w:rsidP="000238B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78F3C3" w14:textId="4A421034" w:rsidR="00F54E59" w:rsidRDefault="00E500F9" w:rsidP="00E500F9">
      <w:pPr>
        <w:jc w:val="center"/>
        <w:rPr>
          <w:rFonts w:ascii="Times" w:hAnsi="Times"/>
          <w:color w:val="808080" w:themeColor="background1" w:themeShade="80"/>
          <w:sz w:val="20"/>
          <w:szCs w:val="20"/>
        </w:rPr>
      </w:pPr>
      <w:r w:rsidRPr="00E500F9">
        <w:rPr>
          <w:rFonts w:ascii="Times" w:hAnsi="Times"/>
          <w:sz w:val="20"/>
          <w:szCs w:val="20"/>
        </w:rPr>
        <w:t>ABSTRACT</w:t>
      </w:r>
      <w:r>
        <w:rPr>
          <w:rFonts w:ascii="Times" w:hAnsi="Times"/>
          <w:sz w:val="20"/>
          <w:szCs w:val="20"/>
        </w:rPr>
        <w:t xml:space="preserve"> </w:t>
      </w:r>
      <w:r w:rsidRPr="00E500F9">
        <w:rPr>
          <w:rFonts w:ascii="Times" w:hAnsi="Times"/>
          <w:color w:val="808080" w:themeColor="background1" w:themeShade="80"/>
          <w:sz w:val="20"/>
          <w:szCs w:val="20"/>
        </w:rPr>
        <w:t xml:space="preserve">(Times New Roman, 10 </w:t>
      </w:r>
      <w:proofErr w:type="spellStart"/>
      <w:r w:rsidRPr="00E500F9">
        <w:rPr>
          <w:rFonts w:ascii="Times" w:hAnsi="Times"/>
          <w:color w:val="808080" w:themeColor="background1" w:themeShade="80"/>
          <w:sz w:val="20"/>
          <w:szCs w:val="20"/>
        </w:rPr>
        <w:t>pt</w:t>
      </w:r>
      <w:proofErr w:type="spellEnd"/>
      <w:r w:rsidR="006D3F42">
        <w:rPr>
          <w:rFonts w:ascii="Times" w:hAnsi="Times"/>
          <w:color w:val="808080" w:themeColor="background1" w:themeShade="80"/>
          <w:sz w:val="20"/>
          <w:szCs w:val="20"/>
        </w:rPr>
        <w:t>, 100-250 words</w:t>
      </w:r>
      <w:r w:rsidRPr="00E500F9">
        <w:rPr>
          <w:rFonts w:ascii="Times" w:hAnsi="Times"/>
          <w:color w:val="808080" w:themeColor="background1" w:themeShade="80"/>
          <w:sz w:val="20"/>
          <w:szCs w:val="20"/>
        </w:rPr>
        <w:t>)</w:t>
      </w:r>
    </w:p>
    <w:p w14:paraId="4E57F60D" w14:textId="233E5ECD" w:rsidR="00A511C4" w:rsidRDefault="00F67B79" w:rsidP="00157DAB">
      <w:pPr>
        <w:spacing w:line="240" w:lineRule="auto"/>
        <w:ind w:firstLine="708"/>
        <w:jc w:val="both"/>
        <w:rPr>
          <w:rFonts w:ascii="Times" w:hAnsi="Times"/>
          <w:color w:val="000000" w:themeColor="text1"/>
          <w:sz w:val="20"/>
          <w:szCs w:val="20"/>
        </w:rPr>
      </w:pPr>
      <w:r>
        <w:rPr>
          <w:rFonts w:ascii="Times" w:hAnsi="Times"/>
          <w:color w:val="808080" w:themeColor="background1" w:themeShade="80"/>
          <w:sz w:val="20"/>
          <w:szCs w:val="20"/>
        </w:rPr>
        <w:t>T</w:t>
      </w:r>
      <w:r w:rsidRPr="00F67B79">
        <w:rPr>
          <w:rFonts w:ascii="Times" w:hAnsi="Times"/>
          <w:color w:val="000000" w:themeColor="text1"/>
          <w:sz w:val="20"/>
          <w:szCs w:val="20"/>
        </w:rPr>
        <w:t>he abstract should have 100 to 250 words.</w:t>
      </w:r>
      <w:r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A511C4" w:rsidRPr="00A511C4">
        <w:rPr>
          <w:rFonts w:ascii="Times" w:hAnsi="Times"/>
          <w:color w:val="000000" w:themeColor="text1"/>
          <w:sz w:val="20"/>
          <w:szCs w:val="20"/>
        </w:rPr>
        <w:t>The author shall attach to the commentary (gloss) an abstract in English and Polish.</w:t>
      </w:r>
      <w:r w:rsidR="00A511C4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A511C4" w:rsidRPr="00A511C4">
        <w:rPr>
          <w:rFonts w:ascii="Times" w:hAnsi="Times"/>
          <w:color w:val="000000" w:themeColor="text1"/>
          <w:sz w:val="20"/>
          <w:szCs w:val="20"/>
        </w:rPr>
        <w:t xml:space="preserve">The foreign author shall attach to the commentary (gloss) an abstract in English. In this case the translation into Polish shall be provided by the Editorial Board. </w:t>
      </w:r>
      <w:r w:rsidR="001D0C65">
        <w:rPr>
          <w:rFonts w:ascii="Times" w:hAnsi="Times"/>
          <w:color w:val="000000" w:themeColor="text1"/>
          <w:sz w:val="20"/>
          <w:szCs w:val="20"/>
        </w:rPr>
        <w:t>T</w:t>
      </w:r>
      <w:r w:rsidR="001D0C65" w:rsidRPr="001D0C65">
        <w:rPr>
          <w:rFonts w:ascii="Times" w:hAnsi="Times"/>
          <w:color w:val="000000" w:themeColor="text1"/>
          <w:sz w:val="20"/>
          <w:szCs w:val="20"/>
        </w:rPr>
        <w:t>he abstract should specify: the nature of the commentary</w:t>
      </w:r>
      <w:r w:rsidR="00762A45">
        <w:rPr>
          <w:rFonts w:ascii="Times" w:hAnsi="Times"/>
          <w:color w:val="000000" w:themeColor="text1"/>
          <w:sz w:val="20"/>
          <w:szCs w:val="20"/>
        </w:rPr>
        <w:t xml:space="preserve"> -</w:t>
      </w:r>
      <w:r w:rsidR="001D0C65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762A45">
        <w:rPr>
          <w:rFonts w:ascii="Times" w:hAnsi="Times"/>
          <w:color w:val="000000" w:themeColor="text1"/>
          <w:sz w:val="20"/>
          <w:szCs w:val="20"/>
        </w:rPr>
        <w:t xml:space="preserve">a) </w:t>
      </w:r>
      <w:r w:rsidR="001D0C65" w:rsidRPr="001D0C65">
        <w:rPr>
          <w:rFonts w:ascii="Times" w:hAnsi="Times"/>
          <w:color w:val="000000" w:themeColor="text1"/>
          <w:sz w:val="20"/>
          <w:szCs w:val="20"/>
        </w:rPr>
        <w:t>disapproving</w:t>
      </w:r>
      <w:r w:rsidR="00762A45">
        <w:rPr>
          <w:rFonts w:ascii="Times" w:hAnsi="Times"/>
          <w:color w:val="000000" w:themeColor="text1"/>
          <w:sz w:val="20"/>
          <w:szCs w:val="20"/>
        </w:rPr>
        <w:t>,</w:t>
      </w:r>
      <w:r w:rsidR="001D0C65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762A45">
        <w:rPr>
          <w:rFonts w:ascii="Times" w:hAnsi="Times"/>
          <w:color w:val="000000" w:themeColor="text1"/>
          <w:sz w:val="20"/>
          <w:szCs w:val="20"/>
        </w:rPr>
        <w:t>b)</w:t>
      </w:r>
      <w:r w:rsidR="00F33929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1D0C65" w:rsidRPr="001D0C65">
        <w:rPr>
          <w:rFonts w:ascii="Times" w:hAnsi="Times"/>
          <w:color w:val="000000" w:themeColor="text1"/>
          <w:sz w:val="20"/>
          <w:szCs w:val="20"/>
        </w:rPr>
        <w:t>partially approving (substantially disapproving, with elements of approval)</w:t>
      </w:r>
      <w:r w:rsidR="00762A45">
        <w:rPr>
          <w:rFonts w:ascii="Times" w:hAnsi="Times"/>
          <w:color w:val="000000" w:themeColor="text1"/>
          <w:sz w:val="20"/>
          <w:szCs w:val="20"/>
        </w:rPr>
        <w:t>,</w:t>
      </w:r>
      <w:r w:rsidR="001D0C65" w:rsidRPr="001D0C65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762A45">
        <w:rPr>
          <w:rFonts w:ascii="Times" w:hAnsi="Times"/>
          <w:color w:val="000000" w:themeColor="text1"/>
          <w:sz w:val="20"/>
          <w:szCs w:val="20"/>
        </w:rPr>
        <w:t>c)</w:t>
      </w:r>
      <w:r w:rsidR="00F33929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1D0C65" w:rsidRPr="001D0C65">
        <w:rPr>
          <w:rFonts w:ascii="Times" w:hAnsi="Times"/>
          <w:color w:val="000000" w:themeColor="text1"/>
          <w:sz w:val="20"/>
          <w:szCs w:val="20"/>
        </w:rPr>
        <w:t>partially disapproving (substantially approving with elements of criticism)</w:t>
      </w:r>
      <w:r w:rsidR="00762A45">
        <w:rPr>
          <w:rFonts w:ascii="Times" w:hAnsi="Times"/>
          <w:color w:val="000000" w:themeColor="text1"/>
          <w:sz w:val="20"/>
          <w:szCs w:val="20"/>
        </w:rPr>
        <w:t>,</w:t>
      </w:r>
      <w:r w:rsidR="001D0C65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762A45">
        <w:rPr>
          <w:rFonts w:ascii="Times" w:hAnsi="Times"/>
          <w:color w:val="000000" w:themeColor="text1"/>
          <w:sz w:val="20"/>
          <w:szCs w:val="20"/>
        </w:rPr>
        <w:t>d)</w:t>
      </w:r>
      <w:r w:rsidR="00F33929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1D0C65" w:rsidRPr="001D0C65">
        <w:rPr>
          <w:rFonts w:ascii="Times" w:hAnsi="Times"/>
          <w:color w:val="000000" w:themeColor="text1"/>
          <w:sz w:val="20"/>
          <w:szCs w:val="20"/>
        </w:rPr>
        <w:t>approving;</w:t>
      </w:r>
      <w:r w:rsidR="001D0C65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1D0C65" w:rsidRPr="001D0C65">
        <w:rPr>
          <w:rFonts w:ascii="Times" w:hAnsi="Times"/>
          <w:color w:val="000000" w:themeColor="text1"/>
          <w:sz w:val="20"/>
          <w:szCs w:val="20"/>
        </w:rPr>
        <w:t>the research problem with a synthesis of the factual and legal status;</w:t>
      </w:r>
      <w:r w:rsidR="001D0C65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1D0C65" w:rsidRPr="001D0C65">
        <w:rPr>
          <w:rFonts w:ascii="Times" w:hAnsi="Times"/>
          <w:color w:val="000000" w:themeColor="text1"/>
          <w:sz w:val="20"/>
          <w:szCs w:val="20"/>
        </w:rPr>
        <w:t>main theses;</w:t>
      </w:r>
      <w:r w:rsidR="001D0C65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1D0C65" w:rsidRPr="001D0C65">
        <w:rPr>
          <w:rFonts w:ascii="Times" w:hAnsi="Times"/>
          <w:color w:val="000000" w:themeColor="text1"/>
          <w:sz w:val="20"/>
          <w:szCs w:val="20"/>
        </w:rPr>
        <w:t>originality of the results; cognitive value for science or practice.</w:t>
      </w:r>
      <w:r w:rsidR="001D0C65">
        <w:rPr>
          <w:rFonts w:ascii="Times" w:hAnsi="Times"/>
          <w:color w:val="000000" w:themeColor="text1"/>
          <w:sz w:val="20"/>
          <w:szCs w:val="20"/>
        </w:rPr>
        <w:t xml:space="preserve"> </w:t>
      </w:r>
    </w:p>
    <w:p w14:paraId="56ADF518" w14:textId="32D640FB" w:rsidR="002822C0" w:rsidRDefault="002822C0" w:rsidP="00897860">
      <w:pPr>
        <w:spacing w:line="240" w:lineRule="auto"/>
        <w:ind w:firstLine="708"/>
        <w:jc w:val="both"/>
        <w:rPr>
          <w:rFonts w:ascii="Times" w:hAnsi="Times"/>
          <w:color w:val="000000" w:themeColor="text1"/>
          <w:sz w:val="20"/>
          <w:szCs w:val="20"/>
        </w:rPr>
      </w:pPr>
      <w:r w:rsidRPr="002822C0">
        <w:rPr>
          <w:rFonts w:ascii="Times" w:hAnsi="Times"/>
          <w:b/>
          <w:bCs/>
          <w:color w:val="000000" w:themeColor="text1"/>
          <w:sz w:val="20"/>
          <w:szCs w:val="20"/>
        </w:rPr>
        <w:t>Keywords:</w:t>
      </w:r>
      <w:r w:rsidRPr="002822C0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Pr="002822C0">
        <w:rPr>
          <w:rFonts w:ascii="Times" w:hAnsi="Times"/>
          <w:color w:val="44546A" w:themeColor="text2"/>
          <w:sz w:val="20"/>
          <w:szCs w:val="20"/>
        </w:rPr>
        <w:t xml:space="preserve">(Times New Roman, 10 </w:t>
      </w:r>
      <w:proofErr w:type="spellStart"/>
      <w:r w:rsidRPr="002822C0">
        <w:rPr>
          <w:rFonts w:ascii="Times" w:hAnsi="Times"/>
          <w:color w:val="44546A" w:themeColor="text2"/>
          <w:sz w:val="20"/>
          <w:szCs w:val="20"/>
        </w:rPr>
        <w:t>pt</w:t>
      </w:r>
      <w:proofErr w:type="spellEnd"/>
      <w:r w:rsidRPr="002822C0">
        <w:rPr>
          <w:rFonts w:ascii="Times" w:hAnsi="Times"/>
          <w:color w:val="44546A" w:themeColor="text2"/>
          <w:sz w:val="20"/>
          <w:szCs w:val="20"/>
        </w:rPr>
        <w:t xml:space="preserve">, </w:t>
      </w:r>
      <w:r>
        <w:rPr>
          <w:rFonts w:ascii="Times" w:hAnsi="Times"/>
          <w:color w:val="44546A" w:themeColor="text2"/>
          <w:sz w:val="20"/>
          <w:szCs w:val="20"/>
        </w:rPr>
        <w:t>3-6</w:t>
      </w:r>
      <w:r w:rsidRPr="002822C0">
        <w:rPr>
          <w:rFonts w:ascii="Times" w:hAnsi="Times"/>
          <w:color w:val="44546A" w:themeColor="text2"/>
          <w:sz w:val="20"/>
          <w:szCs w:val="20"/>
        </w:rPr>
        <w:t xml:space="preserve"> words)</w:t>
      </w:r>
      <w:r>
        <w:rPr>
          <w:rFonts w:ascii="Times" w:hAnsi="Times"/>
          <w:color w:val="44546A" w:themeColor="text2"/>
          <w:sz w:val="20"/>
          <w:szCs w:val="20"/>
        </w:rPr>
        <w:t xml:space="preserve"> </w:t>
      </w:r>
      <w:r w:rsidR="008D6706">
        <w:rPr>
          <w:rFonts w:ascii="Times" w:hAnsi="Times"/>
          <w:color w:val="000000" w:themeColor="text1"/>
          <w:sz w:val="20"/>
          <w:szCs w:val="20"/>
        </w:rPr>
        <w:t>a</w:t>
      </w:r>
      <w:r w:rsidR="008D6706" w:rsidRPr="008D6706">
        <w:rPr>
          <w:rFonts w:ascii="Times" w:hAnsi="Times"/>
          <w:color w:val="000000" w:themeColor="text1"/>
          <w:sz w:val="20"/>
          <w:szCs w:val="20"/>
        </w:rPr>
        <w:t>uthor</w:t>
      </w:r>
      <w:r w:rsidR="008D6706">
        <w:rPr>
          <w:rFonts w:ascii="Times" w:hAnsi="Times"/>
          <w:color w:val="000000" w:themeColor="text1"/>
          <w:sz w:val="20"/>
          <w:szCs w:val="20"/>
        </w:rPr>
        <w:t>;</w:t>
      </w:r>
      <w:r w:rsidR="008D6706" w:rsidRPr="008D6706">
        <w:rPr>
          <w:rFonts w:ascii="Times" w:hAnsi="Times"/>
          <w:color w:val="000000" w:themeColor="text1"/>
          <w:sz w:val="20"/>
          <w:szCs w:val="20"/>
        </w:rPr>
        <w:t xml:space="preserve"> should</w:t>
      </w:r>
      <w:r w:rsidR="008D6706">
        <w:rPr>
          <w:rFonts w:ascii="Times" w:hAnsi="Times"/>
          <w:color w:val="000000" w:themeColor="text1"/>
          <w:sz w:val="20"/>
          <w:szCs w:val="20"/>
        </w:rPr>
        <w:t>;</w:t>
      </w:r>
      <w:r w:rsidR="008D6706" w:rsidRPr="008D6706">
        <w:rPr>
          <w:rFonts w:ascii="Times" w:hAnsi="Times"/>
          <w:color w:val="000000" w:themeColor="text1"/>
          <w:sz w:val="20"/>
          <w:szCs w:val="20"/>
        </w:rPr>
        <w:t xml:space="preserve"> specify</w:t>
      </w:r>
      <w:r w:rsidR="008D6706">
        <w:rPr>
          <w:rFonts w:ascii="Times" w:hAnsi="Times"/>
          <w:color w:val="000000" w:themeColor="text1"/>
          <w:sz w:val="20"/>
          <w:szCs w:val="20"/>
        </w:rPr>
        <w:t>;</w:t>
      </w:r>
      <w:r w:rsidR="008D6706" w:rsidRPr="008D6706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387BCA">
        <w:rPr>
          <w:rFonts w:ascii="Times" w:hAnsi="Times"/>
          <w:color w:val="000000" w:themeColor="text1"/>
          <w:sz w:val="20"/>
          <w:szCs w:val="20"/>
        </w:rPr>
        <w:t>three;</w:t>
      </w:r>
      <w:r w:rsidR="008D6706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8D6706" w:rsidRPr="008D6706">
        <w:rPr>
          <w:rFonts w:ascii="Times" w:hAnsi="Times"/>
          <w:color w:val="000000" w:themeColor="text1"/>
          <w:sz w:val="20"/>
          <w:szCs w:val="20"/>
        </w:rPr>
        <w:t xml:space="preserve">to </w:t>
      </w:r>
      <w:r w:rsidR="008D6706">
        <w:rPr>
          <w:rFonts w:ascii="Times" w:hAnsi="Times"/>
          <w:color w:val="000000" w:themeColor="text1"/>
          <w:sz w:val="20"/>
          <w:szCs w:val="20"/>
        </w:rPr>
        <w:t>six;</w:t>
      </w:r>
      <w:r w:rsidR="008D6706" w:rsidRPr="008D6706">
        <w:rPr>
          <w:rFonts w:ascii="Times" w:hAnsi="Times"/>
          <w:color w:val="000000" w:themeColor="text1"/>
          <w:sz w:val="20"/>
          <w:szCs w:val="20"/>
        </w:rPr>
        <w:t xml:space="preserve"> keywords</w:t>
      </w:r>
    </w:p>
    <w:p w14:paraId="6087B719" w14:textId="518812B9" w:rsidR="00E62C3E" w:rsidRDefault="00E62C3E" w:rsidP="00897860">
      <w:pPr>
        <w:spacing w:line="240" w:lineRule="auto"/>
        <w:ind w:firstLine="708"/>
        <w:jc w:val="both"/>
        <w:rPr>
          <w:rFonts w:ascii="Times" w:hAnsi="Times"/>
          <w:color w:val="000000" w:themeColor="text1"/>
          <w:sz w:val="20"/>
          <w:szCs w:val="20"/>
        </w:rPr>
      </w:pPr>
    </w:p>
    <w:p w14:paraId="6C431879" w14:textId="64F3349C" w:rsidR="00E62C3E" w:rsidRDefault="00E62C3E" w:rsidP="00E62C3E">
      <w:pPr>
        <w:spacing w:line="240" w:lineRule="auto"/>
        <w:ind w:firstLine="708"/>
        <w:jc w:val="center"/>
        <w:rPr>
          <w:rFonts w:ascii="Times" w:hAnsi="Times"/>
          <w:color w:val="44546A" w:themeColor="text2"/>
          <w:sz w:val="24"/>
          <w:szCs w:val="24"/>
        </w:rPr>
      </w:pPr>
      <w:r w:rsidRPr="00E62C3E">
        <w:rPr>
          <w:rFonts w:ascii="Times" w:hAnsi="Times"/>
          <w:color w:val="44546A" w:themeColor="text2"/>
          <w:sz w:val="24"/>
          <w:szCs w:val="24"/>
        </w:rPr>
        <w:t xml:space="preserve">(Times New Roman, 12 </w:t>
      </w:r>
      <w:proofErr w:type="spellStart"/>
      <w:r w:rsidRPr="00E62C3E">
        <w:rPr>
          <w:rFonts w:ascii="Times" w:hAnsi="Times"/>
          <w:color w:val="44546A" w:themeColor="text2"/>
          <w:sz w:val="24"/>
          <w:szCs w:val="24"/>
        </w:rPr>
        <w:t>pt</w:t>
      </w:r>
      <w:proofErr w:type="spellEnd"/>
      <w:r w:rsidRPr="00E62C3E">
        <w:rPr>
          <w:rFonts w:ascii="Times" w:hAnsi="Times"/>
          <w:color w:val="44546A" w:themeColor="text2"/>
          <w:sz w:val="24"/>
          <w:szCs w:val="24"/>
        </w:rPr>
        <w:t>)</w:t>
      </w:r>
    </w:p>
    <w:p w14:paraId="6F5E7F41" w14:textId="0EB6FA85" w:rsidR="00E62C3E" w:rsidRPr="00790EBD" w:rsidRDefault="00951544" w:rsidP="00894B71">
      <w:pPr>
        <w:spacing w:line="360" w:lineRule="auto"/>
        <w:ind w:firstLine="708"/>
        <w:jc w:val="both"/>
        <w:rPr>
          <w:rFonts w:ascii="Times" w:hAnsi="Times"/>
          <w:color w:val="000000" w:themeColor="text1"/>
          <w:sz w:val="24"/>
          <w:szCs w:val="24"/>
        </w:rPr>
      </w:pPr>
      <w:r w:rsidRPr="00951544">
        <w:rPr>
          <w:rFonts w:ascii="Times" w:hAnsi="Times"/>
          <w:color w:val="000000" w:themeColor="text1"/>
          <w:sz w:val="24"/>
          <w:szCs w:val="24"/>
        </w:rPr>
        <w:t>The commentary on a judicial decision (gloss) shall constitute a scientific commentary on a specific ruling.</w:t>
      </w:r>
      <w:r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951544">
        <w:rPr>
          <w:rFonts w:ascii="Times" w:hAnsi="Times"/>
          <w:color w:val="000000" w:themeColor="text1"/>
          <w:sz w:val="24"/>
          <w:szCs w:val="24"/>
        </w:rPr>
        <w:t>The commentary (gloss) should concern</w:t>
      </w:r>
      <w:proofErr w:type="gramStart"/>
      <w:r w:rsidRPr="00951544">
        <w:rPr>
          <w:rFonts w:ascii="Times" w:hAnsi="Times"/>
          <w:color w:val="000000" w:themeColor="text1"/>
          <w:sz w:val="24"/>
          <w:szCs w:val="24"/>
        </w:rPr>
        <w:t>, in particular, judgements</w:t>
      </w:r>
      <w:proofErr w:type="gramEnd"/>
      <w:r w:rsidRPr="00951544">
        <w:rPr>
          <w:rFonts w:ascii="Times" w:hAnsi="Times"/>
          <w:color w:val="000000" w:themeColor="text1"/>
          <w:sz w:val="24"/>
          <w:szCs w:val="24"/>
        </w:rPr>
        <w:t xml:space="preserve"> that address controversial, ground-breaking problems, relevant for the development of judicial practice.</w:t>
      </w:r>
      <w:r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951544">
        <w:rPr>
          <w:rFonts w:ascii="Times" w:hAnsi="Times"/>
          <w:color w:val="000000" w:themeColor="text1"/>
          <w:sz w:val="24"/>
          <w:szCs w:val="24"/>
        </w:rPr>
        <w:t>The commentary (gloss) shall include:</w:t>
      </w:r>
      <w:r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951544">
        <w:rPr>
          <w:rFonts w:ascii="Times" w:hAnsi="Times"/>
          <w:color w:val="000000" w:themeColor="text1"/>
          <w:sz w:val="24"/>
          <w:szCs w:val="24"/>
        </w:rPr>
        <w:t>1) a brief description of the legal problem addressed in the ruling, and its practical and theoretical significance;</w:t>
      </w:r>
      <w:r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951544">
        <w:rPr>
          <w:rFonts w:ascii="Times" w:hAnsi="Times"/>
          <w:color w:val="000000" w:themeColor="text1"/>
          <w:sz w:val="24"/>
          <w:szCs w:val="24"/>
        </w:rPr>
        <w:t xml:space="preserve">2) a critical analysis of the </w:t>
      </w:r>
      <w:r w:rsidRPr="00951544">
        <w:rPr>
          <w:rFonts w:ascii="Times" w:hAnsi="Times"/>
          <w:color w:val="000000" w:themeColor="text1"/>
          <w:sz w:val="24"/>
          <w:szCs w:val="24"/>
        </w:rPr>
        <w:lastRenderedPageBreak/>
        <w:t>court's reasoning;</w:t>
      </w:r>
      <w:r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951544">
        <w:rPr>
          <w:rFonts w:ascii="Times" w:hAnsi="Times"/>
          <w:color w:val="000000" w:themeColor="text1"/>
          <w:sz w:val="24"/>
          <w:szCs w:val="24"/>
        </w:rPr>
        <w:t>3) a conclusion of theoretical and/or practical importance</w:t>
      </w:r>
      <w:r w:rsidR="00BA407C">
        <w:rPr>
          <w:rStyle w:val="Odwoanieprzypisudolnego"/>
          <w:rFonts w:ascii="Times" w:hAnsi="Times"/>
          <w:color w:val="000000" w:themeColor="text1"/>
          <w:sz w:val="24"/>
          <w:szCs w:val="24"/>
        </w:rPr>
        <w:footnoteReference w:id="1"/>
      </w:r>
      <w:r w:rsidR="00E6441A" w:rsidRPr="00E6441A">
        <w:rPr>
          <w:rFonts w:ascii="Times" w:hAnsi="Times"/>
          <w:color w:val="000000" w:themeColor="text1"/>
          <w:sz w:val="24"/>
          <w:szCs w:val="24"/>
        </w:rPr>
        <w:t xml:space="preserve">. </w:t>
      </w:r>
      <w:r w:rsidR="006A1B6C" w:rsidRPr="006A1B6C">
        <w:rPr>
          <w:rFonts w:ascii="Times" w:hAnsi="Times"/>
          <w:color w:val="000000" w:themeColor="text1"/>
          <w:sz w:val="24"/>
          <w:szCs w:val="24"/>
        </w:rPr>
        <w:t>The commentary may contain a brief description of the course of the proceedings, but only to the extent as necessary to demonstrate the legal problem</w:t>
      </w:r>
      <w:r w:rsidR="0056712E">
        <w:rPr>
          <w:rStyle w:val="Odwoanieprzypisudolnego"/>
          <w:rFonts w:ascii="Times" w:hAnsi="Times"/>
          <w:color w:val="000000" w:themeColor="text1"/>
          <w:sz w:val="24"/>
          <w:szCs w:val="24"/>
        </w:rPr>
        <w:footnoteReference w:id="2"/>
      </w:r>
      <w:r w:rsidR="00E6441A">
        <w:rPr>
          <w:rFonts w:ascii="Times" w:hAnsi="Times"/>
          <w:color w:val="000000" w:themeColor="text1"/>
          <w:sz w:val="24"/>
          <w:szCs w:val="24"/>
        </w:rPr>
        <w:t xml:space="preserve">. </w:t>
      </w:r>
      <w:r w:rsidR="00E6225D">
        <w:rPr>
          <w:rFonts w:ascii="Times" w:hAnsi="Times"/>
          <w:color w:val="000000" w:themeColor="text1"/>
          <w:sz w:val="24"/>
          <w:szCs w:val="24"/>
        </w:rPr>
        <w:t xml:space="preserve"> </w:t>
      </w:r>
    </w:p>
    <w:p w14:paraId="628E89D0" w14:textId="1149D27F" w:rsidR="00E62C3E" w:rsidRDefault="00E62C3E" w:rsidP="00E62C3E">
      <w:pPr>
        <w:spacing w:line="240" w:lineRule="auto"/>
        <w:rPr>
          <w:rFonts w:ascii="Times" w:hAnsi="Times"/>
          <w:color w:val="44546A" w:themeColor="text2"/>
          <w:sz w:val="24"/>
          <w:szCs w:val="24"/>
        </w:rPr>
      </w:pPr>
    </w:p>
    <w:p w14:paraId="6EC02EEF" w14:textId="59A3C8EE" w:rsidR="00E62C3E" w:rsidRPr="00A567D8" w:rsidRDefault="00E62C3E" w:rsidP="00E62C3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  <w:r w:rsidRPr="00A567D8">
        <w:rPr>
          <w:rFonts w:ascii="Times New Roman" w:eastAsia="Times New Roman" w:hAnsi="Times New Roman"/>
          <w:sz w:val="20"/>
          <w:szCs w:val="20"/>
        </w:rPr>
        <w:t>REFERENCES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E62C3E">
        <w:rPr>
          <w:rFonts w:ascii="Times New Roman" w:eastAsia="Times New Roman" w:hAnsi="Times New Roman"/>
          <w:color w:val="44546A" w:themeColor="text2"/>
          <w:sz w:val="20"/>
          <w:szCs w:val="20"/>
        </w:rPr>
        <w:t xml:space="preserve">(Times New Roman, 10 </w:t>
      </w:r>
      <w:proofErr w:type="spellStart"/>
      <w:r w:rsidRPr="00E62C3E">
        <w:rPr>
          <w:rFonts w:ascii="Times New Roman" w:eastAsia="Times New Roman" w:hAnsi="Times New Roman"/>
          <w:color w:val="44546A" w:themeColor="text2"/>
          <w:sz w:val="20"/>
          <w:szCs w:val="20"/>
        </w:rPr>
        <w:t>pt</w:t>
      </w:r>
      <w:proofErr w:type="spellEnd"/>
      <w:r w:rsidRPr="00E62C3E">
        <w:rPr>
          <w:rFonts w:ascii="Times New Roman" w:eastAsia="Times New Roman" w:hAnsi="Times New Roman"/>
          <w:color w:val="44546A" w:themeColor="text2"/>
          <w:sz w:val="20"/>
          <w:szCs w:val="20"/>
        </w:rPr>
        <w:t>)</w:t>
      </w:r>
    </w:p>
    <w:p w14:paraId="5DD57D82" w14:textId="77777777" w:rsidR="00E62C3E" w:rsidRPr="00A567D8" w:rsidRDefault="00E62C3E" w:rsidP="00E62C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14:paraId="3361E599" w14:textId="77777777" w:rsidR="00E62C3E" w:rsidRPr="00A567D8" w:rsidRDefault="00E62C3E" w:rsidP="00E62C3E">
      <w:pPr>
        <w:spacing w:after="0" w:line="240" w:lineRule="auto"/>
        <w:contextualSpacing/>
        <w:jc w:val="both"/>
        <w:rPr>
          <w:rFonts w:ascii="Times New Roman" w:hAnsi="Times New Roman"/>
          <w:smallCaps/>
          <w:sz w:val="20"/>
          <w:szCs w:val="20"/>
        </w:rPr>
      </w:pPr>
      <w:r w:rsidRPr="00A567D8">
        <w:rPr>
          <w:rFonts w:ascii="Times New Roman" w:hAnsi="Times New Roman"/>
          <w:smallCaps/>
          <w:sz w:val="20"/>
          <w:szCs w:val="20"/>
        </w:rPr>
        <w:t>Literature</w:t>
      </w:r>
    </w:p>
    <w:p w14:paraId="4DB1FA38" w14:textId="77777777" w:rsidR="00E62C3E" w:rsidRPr="00A567D8" w:rsidRDefault="00E62C3E" w:rsidP="00E62C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04E6FA94" w14:textId="77777777" w:rsidR="00E62C3E" w:rsidRPr="00A567D8" w:rsidRDefault="00E62C3E" w:rsidP="00E62C3E">
      <w:pPr>
        <w:spacing w:line="240" w:lineRule="auto"/>
        <w:contextualSpacing/>
        <w:jc w:val="both"/>
        <w:rPr>
          <w:rFonts w:ascii="Times New Roman" w:hAnsi="Times New Roman"/>
          <w:bCs/>
          <w:iCs/>
          <w:sz w:val="20"/>
          <w:szCs w:val="20"/>
          <w:lang w:val="en-US"/>
        </w:rPr>
      </w:pPr>
      <w:proofErr w:type="spellStart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Ausems</w:t>
      </w:r>
      <w:proofErr w:type="spellEnd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 E., </w:t>
      </w:r>
      <w:r w:rsidRPr="00A567D8">
        <w:rPr>
          <w:rFonts w:ascii="Times New Roman" w:hAnsi="Times New Roman"/>
          <w:bCs/>
          <w:i/>
          <w:iCs/>
          <w:sz w:val="20"/>
          <w:szCs w:val="20"/>
          <w:lang w:val="en-US"/>
        </w:rPr>
        <w:t>The Council of Europe and animal welfare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, [in:] </w:t>
      </w:r>
      <w:r w:rsidRPr="00A567D8">
        <w:rPr>
          <w:rFonts w:ascii="Times New Roman" w:hAnsi="Times New Roman"/>
          <w:bCs/>
          <w:i/>
          <w:iCs/>
          <w:sz w:val="20"/>
          <w:szCs w:val="20"/>
          <w:lang w:val="en-US"/>
        </w:rPr>
        <w:t>Ethical Eye: Animal Welfare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, Strasbourg 2006.</w:t>
      </w:r>
    </w:p>
    <w:p w14:paraId="2C27C3BA" w14:textId="77777777" w:rsidR="00E62C3E" w:rsidRPr="00A567D8" w:rsidRDefault="00E62C3E" w:rsidP="00E62C3E">
      <w:pPr>
        <w:spacing w:line="240" w:lineRule="auto"/>
        <w:contextualSpacing/>
        <w:jc w:val="both"/>
        <w:rPr>
          <w:rFonts w:ascii="Times New Roman" w:hAnsi="Times New Roman"/>
          <w:bCs/>
          <w:iCs/>
          <w:sz w:val="20"/>
          <w:szCs w:val="20"/>
          <w:lang w:val="en-US"/>
        </w:rPr>
      </w:pPr>
    </w:p>
    <w:p w14:paraId="0C8C86BF" w14:textId="0A610B49" w:rsidR="00E62C3E" w:rsidRDefault="00E62C3E" w:rsidP="00E62C3E">
      <w:pPr>
        <w:spacing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en-US"/>
        </w:rPr>
      </w:pPr>
      <w:proofErr w:type="spellStart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Babińska</w:t>
      </w:r>
      <w:proofErr w:type="spellEnd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 I.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proofErr w:type="spellStart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Kuczewska</w:t>
      </w:r>
      <w:proofErr w:type="spellEnd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 E.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proofErr w:type="spellStart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Konkie</w:t>
      </w:r>
      <w:proofErr w:type="spellEnd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 J.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proofErr w:type="spellStart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Felsmann</w:t>
      </w:r>
      <w:proofErr w:type="spellEnd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 M.Z.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proofErr w:type="spellStart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Szarek</w:t>
      </w:r>
      <w:proofErr w:type="spellEnd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 J.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proofErr w:type="spellStart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Popławski</w:t>
      </w:r>
      <w:proofErr w:type="spellEnd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 K.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proofErr w:type="spellStart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Snarska</w:t>
      </w:r>
      <w:proofErr w:type="spellEnd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 A.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A567D8">
        <w:rPr>
          <w:rFonts w:ascii="Times New Roman" w:hAnsi="Times New Roman"/>
          <w:bCs/>
          <w:i/>
          <w:sz w:val="20"/>
          <w:szCs w:val="20"/>
          <w:lang w:val="en-US"/>
        </w:rPr>
        <w:t>Selected aspects of humane animal protection in Polish law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>, “Polish Journal of Natural Sciences” 2017, vol. 32(2).</w:t>
      </w:r>
    </w:p>
    <w:p w14:paraId="47FA9E93" w14:textId="1F6C32FC" w:rsidR="00E62C3E" w:rsidRDefault="00E62C3E" w:rsidP="00E62C3E">
      <w:pPr>
        <w:spacing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en-US"/>
        </w:rPr>
      </w:pPr>
    </w:p>
    <w:p w14:paraId="41AD4D65" w14:textId="58C61FDF" w:rsidR="00FE19C7" w:rsidRPr="00C448FF" w:rsidRDefault="00FE19C7" w:rsidP="00FE19C7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proofErr w:type="spellStart"/>
      <w:r w:rsidRPr="00A616AC">
        <w:rPr>
          <w:rFonts w:ascii="Times New Roman" w:hAnsi="Times New Roman"/>
          <w:sz w:val="20"/>
          <w:szCs w:val="20"/>
        </w:rPr>
        <w:t>Gárdos-Orosz</w:t>
      </w:r>
      <w:proofErr w:type="spellEnd"/>
      <w:r w:rsidRPr="00A616AC">
        <w:rPr>
          <w:rFonts w:ascii="Times New Roman" w:hAnsi="Times New Roman"/>
          <w:sz w:val="20"/>
          <w:szCs w:val="20"/>
        </w:rPr>
        <w:t xml:space="preserve"> F., </w:t>
      </w:r>
      <w:r w:rsidRPr="00A616AC">
        <w:rPr>
          <w:rFonts w:ascii="Times New Roman" w:hAnsi="Times New Roman"/>
          <w:i/>
          <w:sz w:val="20"/>
          <w:szCs w:val="20"/>
        </w:rPr>
        <w:t>COVID-19 and the Responsiveness of the Hungarian Constitutional System</w:t>
      </w:r>
      <w:r w:rsidRPr="00A616AC">
        <w:rPr>
          <w:rFonts w:ascii="Times New Roman" w:hAnsi="Times New Roman"/>
          <w:sz w:val="20"/>
          <w:szCs w:val="20"/>
        </w:rPr>
        <w:t xml:space="preserve">, [in:] </w:t>
      </w:r>
      <w:r w:rsidRPr="00A616AC">
        <w:rPr>
          <w:rFonts w:ascii="Times New Roman" w:hAnsi="Times New Roman"/>
          <w:i/>
          <w:iCs/>
          <w:sz w:val="20"/>
          <w:szCs w:val="20"/>
        </w:rPr>
        <w:t>COVID-19 and Constitutional Law</w:t>
      </w:r>
      <w:r w:rsidRPr="00A616AC">
        <w:rPr>
          <w:rFonts w:ascii="Times New Roman" w:hAnsi="Times New Roman"/>
          <w:iCs/>
          <w:sz w:val="20"/>
          <w:szCs w:val="20"/>
        </w:rPr>
        <w:t xml:space="preserve">, ed. </w:t>
      </w:r>
      <w:r w:rsidRPr="00C448FF">
        <w:rPr>
          <w:rFonts w:ascii="Times New Roman" w:hAnsi="Times New Roman"/>
          <w:sz w:val="20"/>
          <w:szCs w:val="20"/>
          <w:lang w:val="pl-PL"/>
        </w:rPr>
        <w:t xml:space="preserve">J.M. </w:t>
      </w:r>
      <w:proofErr w:type="spellStart"/>
      <w:r w:rsidRPr="00C448FF">
        <w:rPr>
          <w:rFonts w:ascii="Times New Roman" w:hAnsi="Times New Roman"/>
          <w:sz w:val="20"/>
          <w:szCs w:val="20"/>
          <w:lang w:val="pl-PL"/>
        </w:rPr>
        <w:t>Serna</w:t>
      </w:r>
      <w:proofErr w:type="spellEnd"/>
      <w:r w:rsidRPr="00C448FF">
        <w:rPr>
          <w:rFonts w:ascii="Times New Roman" w:hAnsi="Times New Roman"/>
          <w:sz w:val="20"/>
          <w:szCs w:val="20"/>
          <w:lang w:val="pl-PL"/>
        </w:rPr>
        <w:t xml:space="preserve"> de la </w:t>
      </w:r>
      <w:proofErr w:type="spellStart"/>
      <w:r w:rsidRPr="00C448FF">
        <w:rPr>
          <w:rFonts w:ascii="Times New Roman" w:hAnsi="Times New Roman"/>
          <w:sz w:val="20"/>
          <w:szCs w:val="20"/>
          <w:lang w:val="pl-PL"/>
        </w:rPr>
        <w:t>Garza</w:t>
      </w:r>
      <w:proofErr w:type="spellEnd"/>
      <w:r w:rsidRPr="00C448FF">
        <w:rPr>
          <w:rFonts w:ascii="Times New Roman" w:hAnsi="Times New Roman"/>
          <w:sz w:val="20"/>
          <w:szCs w:val="20"/>
          <w:lang w:val="pl-PL"/>
        </w:rPr>
        <w:t xml:space="preserve">, Ciudad de </w:t>
      </w:r>
      <w:proofErr w:type="spellStart"/>
      <w:r w:rsidRPr="00C448FF">
        <w:rPr>
          <w:rFonts w:ascii="Times New Roman" w:hAnsi="Times New Roman"/>
          <w:sz w:val="20"/>
          <w:szCs w:val="20"/>
          <w:lang w:val="pl-PL"/>
        </w:rPr>
        <w:t>México</w:t>
      </w:r>
      <w:proofErr w:type="spellEnd"/>
      <w:r w:rsidRPr="00C448FF">
        <w:rPr>
          <w:rFonts w:ascii="Times New Roman" w:hAnsi="Times New Roman"/>
          <w:sz w:val="20"/>
          <w:szCs w:val="20"/>
          <w:lang w:val="pl-PL"/>
        </w:rPr>
        <w:t xml:space="preserve"> 2020.</w:t>
      </w:r>
    </w:p>
    <w:p w14:paraId="13C05B82" w14:textId="77777777" w:rsidR="00FE19C7" w:rsidRDefault="00FE19C7" w:rsidP="00C7707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58512DAA" w14:textId="307F03C5" w:rsidR="00C7707C" w:rsidRPr="00A567D8" w:rsidRDefault="00C7707C" w:rsidP="00C7707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pl-PL"/>
        </w:rPr>
      </w:pPr>
      <w:r w:rsidRPr="00A567D8">
        <w:rPr>
          <w:rFonts w:ascii="Times New Roman" w:hAnsi="Times New Roman"/>
          <w:sz w:val="20"/>
          <w:szCs w:val="20"/>
          <w:lang w:val="pl-PL"/>
        </w:rPr>
        <w:t xml:space="preserve">Jachnik E., </w:t>
      </w:r>
      <w:r w:rsidRPr="00A567D8">
        <w:rPr>
          <w:rFonts w:ascii="Times New Roman" w:hAnsi="Times New Roman"/>
          <w:i/>
          <w:sz w:val="20"/>
          <w:szCs w:val="20"/>
          <w:lang w:val="pl-PL"/>
        </w:rPr>
        <w:t>Zasada dobrostanu zwierząt we Wspólnej Polityce Rolnej Unii Europejskiej</w:t>
      </w:r>
      <w:r w:rsidRPr="00A567D8">
        <w:rPr>
          <w:rFonts w:ascii="Times New Roman" w:hAnsi="Times New Roman"/>
          <w:sz w:val="20"/>
          <w:szCs w:val="20"/>
          <w:lang w:val="pl-PL"/>
        </w:rPr>
        <w:t xml:space="preserve">, </w:t>
      </w:r>
      <w:r>
        <w:rPr>
          <w:rFonts w:ascii="Times New Roman" w:hAnsi="Times New Roman"/>
          <w:sz w:val="20"/>
          <w:szCs w:val="20"/>
          <w:lang w:val="pl-PL"/>
        </w:rPr>
        <w:t>„</w:t>
      </w:r>
      <w:r w:rsidRPr="00A567D8">
        <w:rPr>
          <w:rFonts w:ascii="Times New Roman" w:hAnsi="Times New Roman"/>
          <w:sz w:val="20"/>
          <w:szCs w:val="20"/>
          <w:lang w:val="pl-PL"/>
        </w:rPr>
        <w:t xml:space="preserve">Studia </w:t>
      </w:r>
      <w:proofErr w:type="spellStart"/>
      <w:r w:rsidRPr="00A567D8">
        <w:rPr>
          <w:rFonts w:ascii="Times New Roman" w:hAnsi="Times New Roman"/>
          <w:sz w:val="20"/>
          <w:szCs w:val="20"/>
          <w:lang w:val="pl-PL"/>
        </w:rPr>
        <w:t>Iuridica</w:t>
      </w:r>
      <w:proofErr w:type="spellEnd"/>
      <w:r w:rsidRPr="00A567D8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Pr="00A567D8">
        <w:rPr>
          <w:rFonts w:ascii="Times New Roman" w:hAnsi="Times New Roman"/>
          <w:sz w:val="20"/>
          <w:szCs w:val="20"/>
          <w:lang w:val="pl-PL"/>
        </w:rPr>
        <w:t>Lublinensia</w:t>
      </w:r>
      <w:proofErr w:type="spellEnd"/>
      <w:r w:rsidRPr="00A567D8">
        <w:rPr>
          <w:rFonts w:ascii="Times New Roman" w:hAnsi="Times New Roman"/>
          <w:sz w:val="20"/>
          <w:szCs w:val="20"/>
          <w:lang w:val="pl-PL"/>
        </w:rPr>
        <w:t xml:space="preserve">” 2017, vol. 26(1), </w:t>
      </w:r>
      <w:r w:rsidRPr="00A567D8">
        <w:rPr>
          <w:rFonts w:ascii="Times New Roman" w:hAnsi="Times New Roman"/>
          <w:b/>
          <w:sz w:val="20"/>
          <w:szCs w:val="20"/>
          <w:lang w:val="pl-PL"/>
        </w:rPr>
        <w:t xml:space="preserve">DOI: </w:t>
      </w:r>
      <w:r w:rsidR="00000000">
        <w:fldChar w:fldCharType="begin"/>
      </w:r>
      <w:r w:rsidR="00000000" w:rsidRPr="00D673CC">
        <w:rPr>
          <w:lang w:val="pl-PL"/>
        </w:rPr>
        <w:instrText>HYPERLINK "https://doi.org/10.17951/sil.2017.26.1.287" \t "_blank"</w:instrText>
      </w:r>
      <w:r w:rsidR="00000000">
        <w:fldChar w:fldCharType="separate"/>
      </w:r>
      <w:r w:rsidRPr="00A567D8">
        <w:rPr>
          <w:rFonts w:ascii="Times New Roman" w:hAnsi="Times New Roman"/>
          <w:b/>
          <w:sz w:val="20"/>
          <w:szCs w:val="20"/>
          <w:lang w:val="pl-PL"/>
        </w:rPr>
        <w:t>https://doi.org/10.17951/sil.2017.26.1.287</w:t>
      </w:r>
      <w:r w:rsidR="00000000">
        <w:rPr>
          <w:rFonts w:ascii="Times New Roman" w:hAnsi="Times New Roman"/>
          <w:b/>
          <w:sz w:val="20"/>
          <w:szCs w:val="20"/>
          <w:lang w:val="pl-PL"/>
        </w:rPr>
        <w:fldChar w:fldCharType="end"/>
      </w:r>
      <w:r w:rsidRPr="00A567D8">
        <w:rPr>
          <w:rFonts w:ascii="Times New Roman" w:hAnsi="Times New Roman"/>
          <w:sz w:val="20"/>
          <w:szCs w:val="20"/>
          <w:lang w:val="pl-PL"/>
        </w:rPr>
        <w:t>.</w:t>
      </w:r>
    </w:p>
    <w:p w14:paraId="14ECB7BB" w14:textId="77777777" w:rsidR="00C7707C" w:rsidRPr="00C7707C" w:rsidRDefault="00C7707C" w:rsidP="00E62C3E">
      <w:pPr>
        <w:spacing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pl-PL"/>
        </w:rPr>
      </w:pPr>
    </w:p>
    <w:p w14:paraId="49F6EC39" w14:textId="77777777" w:rsidR="004F2CB9" w:rsidRPr="00A616AC" w:rsidRDefault="004F2CB9" w:rsidP="004F2CB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16AC">
        <w:rPr>
          <w:rFonts w:ascii="Times New Roman" w:hAnsi="Times New Roman"/>
          <w:sz w:val="20"/>
          <w:szCs w:val="20"/>
          <w:lang w:val="hu-HU"/>
        </w:rPr>
        <w:t xml:space="preserve">Kostrubiec J., </w:t>
      </w:r>
      <w:r w:rsidRPr="00A616AC">
        <w:rPr>
          <w:rFonts w:ascii="Times New Roman" w:hAnsi="Times New Roman"/>
          <w:i/>
          <w:sz w:val="20"/>
          <w:szCs w:val="20"/>
        </w:rPr>
        <w:t>The Role of Public Order Regulations as Acts of Local Law in the Performance of Tasks in the Field of Public Security by Local Self-government in Poland</w:t>
      </w:r>
      <w:r w:rsidRPr="00A616AC">
        <w:rPr>
          <w:rFonts w:ascii="Times New Roman" w:hAnsi="Times New Roman"/>
          <w:sz w:val="20"/>
          <w:szCs w:val="20"/>
        </w:rPr>
        <w:t>, “</w:t>
      </w:r>
      <w:r w:rsidRPr="00A616AC">
        <w:rPr>
          <w:rFonts w:ascii="Times New Roman" w:hAnsi="Times New Roman"/>
          <w:iCs/>
          <w:sz w:val="20"/>
          <w:szCs w:val="20"/>
        </w:rPr>
        <w:t xml:space="preserve">Lex </w:t>
      </w:r>
      <w:proofErr w:type="spellStart"/>
      <w:r w:rsidRPr="00A616AC">
        <w:rPr>
          <w:rFonts w:ascii="Times New Roman" w:hAnsi="Times New Roman"/>
          <w:iCs/>
          <w:sz w:val="20"/>
          <w:szCs w:val="20"/>
        </w:rPr>
        <w:t>Localis</w:t>
      </w:r>
      <w:proofErr w:type="spellEnd"/>
      <w:r w:rsidRPr="00A616AC">
        <w:rPr>
          <w:rFonts w:ascii="Times New Roman" w:hAnsi="Times New Roman"/>
          <w:iCs/>
          <w:sz w:val="20"/>
          <w:szCs w:val="20"/>
        </w:rPr>
        <w:t xml:space="preserve"> – Journal of Local Self-government” </w:t>
      </w:r>
      <w:r w:rsidRPr="00A616AC">
        <w:rPr>
          <w:rFonts w:ascii="Times New Roman" w:hAnsi="Times New Roman"/>
          <w:sz w:val="20"/>
          <w:szCs w:val="20"/>
        </w:rPr>
        <w:t xml:space="preserve">2021, vol. 19(1), </w:t>
      </w:r>
      <w:r w:rsidRPr="00A616AC">
        <w:rPr>
          <w:rFonts w:ascii="Times New Roman" w:hAnsi="Times New Roman"/>
          <w:b/>
          <w:sz w:val="20"/>
          <w:szCs w:val="20"/>
        </w:rPr>
        <w:t xml:space="preserve">DOI: </w:t>
      </w:r>
      <w:hyperlink r:id="rId7" w:history="1">
        <w:r w:rsidRPr="00A616AC">
          <w:rPr>
            <w:rFonts w:ascii="Times New Roman" w:hAnsi="Times New Roman"/>
            <w:b/>
            <w:sz w:val="20"/>
            <w:szCs w:val="20"/>
            <w:shd w:val="clear" w:color="auto" w:fill="FFFFFF"/>
          </w:rPr>
          <w:t>https://doi.org/10.4335/19.1.111-129(2021)</w:t>
        </w:r>
      </w:hyperlink>
      <w:r w:rsidRPr="00A616AC">
        <w:rPr>
          <w:rFonts w:ascii="Times New Roman" w:hAnsi="Times New Roman"/>
          <w:sz w:val="20"/>
          <w:szCs w:val="20"/>
        </w:rPr>
        <w:t>.</w:t>
      </w:r>
    </w:p>
    <w:p w14:paraId="1B0204AC" w14:textId="2ED4AB7F" w:rsidR="00E62C3E" w:rsidRPr="004F2CB9" w:rsidRDefault="00E62C3E" w:rsidP="00E62C3E">
      <w:pPr>
        <w:spacing w:line="240" w:lineRule="auto"/>
        <w:rPr>
          <w:rFonts w:ascii="Times" w:hAnsi="Times"/>
          <w:color w:val="44546A" w:themeColor="text2"/>
          <w:sz w:val="24"/>
          <w:szCs w:val="24"/>
        </w:rPr>
      </w:pPr>
    </w:p>
    <w:p w14:paraId="0618ADC7" w14:textId="77777777" w:rsidR="00BB7C84" w:rsidRPr="006C39AB" w:rsidRDefault="00BB7C84" w:rsidP="00BB7C84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mallCaps/>
          <w:color w:val="auto"/>
          <w:sz w:val="20"/>
          <w:szCs w:val="20"/>
          <w:lang w:val="en-GB"/>
        </w:rPr>
      </w:pPr>
      <w:r w:rsidRPr="006C39AB">
        <w:rPr>
          <w:rFonts w:ascii="Times New Roman" w:hAnsi="Times New Roman"/>
          <w:smallCaps/>
          <w:color w:val="auto"/>
          <w:sz w:val="20"/>
          <w:szCs w:val="20"/>
          <w:lang w:val="en-GB"/>
        </w:rPr>
        <w:t>Legal acts</w:t>
      </w:r>
    </w:p>
    <w:p w14:paraId="7BCF66EF" w14:textId="77777777" w:rsidR="00BB7C84" w:rsidRPr="006C39AB" w:rsidRDefault="00BB7C84" w:rsidP="00BB7C8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E0D4F01" w14:textId="5B626EBD" w:rsidR="00F44307" w:rsidRDefault="00BB7C84" w:rsidP="00F4430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39AB">
        <w:rPr>
          <w:rFonts w:ascii="Times New Roman" w:hAnsi="Times New Roman"/>
          <w:sz w:val="20"/>
          <w:szCs w:val="20"/>
        </w:rPr>
        <w:t>Act of 26 June 1976 – Labour Code (consolidated text Journal of Laws 2019, item 1040 as amended).</w:t>
      </w:r>
    </w:p>
    <w:p w14:paraId="6A3F3D19" w14:textId="1717CC44" w:rsidR="00F44307" w:rsidRDefault="00F44307" w:rsidP="00F4430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1984C3C" w14:textId="39884A53" w:rsidR="00FF457A" w:rsidRDefault="00FF457A" w:rsidP="00E2270F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567D8">
        <w:rPr>
          <w:rFonts w:ascii="Times New Roman" w:hAnsi="Times New Roman"/>
          <w:sz w:val="20"/>
          <w:szCs w:val="20"/>
        </w:rPr>
        <w:t>Act of 21 August 1997 on Animal Protection (consolidated text Journal of Laws 2020, item 638).</w:t>
      </w:r>
    </w:p>
    <w:p w14:paraId="3C9820FA" w14:textId="77777777" w:rsidR="00E2270F" w:rsidRDefault="00E2270F" w:rsidP="00E2270F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864FB0D" w14:textId="77777777" w:rsidR="00E2270F" w:rsidRPr="00A567D8" w:rsidRDefault="00E2270F" w:rsidP="00E2270F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567D8">
        <w:rPr>
          <w:rFonts w:ascii="Times New Roman" w:hAnsi="Times New Roman"/>
          <w:sz w:val="20"/>
          <w:szCs w:val="20"/>
        </w:rPr>
        <w:t>Communication from the Commission to the European Parliament and the Council on a Community Action Plan on the Protection and Welfare of Animals 2006–2010 (COM/2006/0013).</w:t>
      </w:r>
    </w:p>
    <w:p w14:paraId="00D27351" w14:textId="77777777" w:rsidR="00935D82" w:rsidRDefault="00935D82" w:rsidP="00935D82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70FC5F6" w14:textId="69DA8FFB" w:rsidR="00935D82" w:rsidRPr="00A567D8" w:rsidRDefault="00935D82" w:rsidP="00935D82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567D8">
        <w:rPr>
          <w:rFonts w:ascii="Times New Roman" w:hAnsi="Times New Roman"/>
          <w:sz w:val="20"/>
          <w:szCs w:val="20"/>
        </w:rPr>
        <w:t>Consolidated version of the Treaty on the Functioning of the European Union (OJ C 326, 26.10.2012, pp. 1–390).</w:t>
      </w:r>
    </w:p>
    <w:p w14:paraId="2B4CB268" w14:textId="77777777" w:rsidR="00E2270F" w:rsidRDefault="00E2270F" w:rsidP="00F4430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7F4D5D" w14:textId="738408A6" w:rsidR="00FF457A" w:rsidRDefault="00F44307" w:rsidP="00F4430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39AB">
        <w:rPr>
          <w:rFonts w:ascii="Times New Roman" w:hAnsi="Times New Roman"/>
          <w:sz w:val="20"/>
          <w:szCs w:val="20"/>
        </w:rPr>
        <w:t>Constitution of the Republic of Poland of 2 April 1997 (Journal of Laws 1997, no. 78, item 483 as amended).</w:t>
      </w:r>
    </w:p>
    <w:p w14:paraId="0604FE51" w14:textId="75E58406" w:rsidR="00E2270F" w:rsidRDefault="00E2270F" w:rsidP="00FF457A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0026D58B" w14:textId="77777777" w:rsidR="00935D82" w:rsidRPr="00A567D8" w:rsidRDefault="00935D82" w:rsidP="00935D82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567D8">
        <w:rPr>
          <w:rFonts w:ascii="Times New Roman" w:hAnsi="Times New Roman"/>
          <w:sz w:val="20"/>
          <w:szCs w:val="20"/>
        </w:rPr>
        <w:t>Declaration of the European Parliament of 13 October 2011 on dog population management in the European Union (P7_</w:t>
      </w:r>
      <w:proofErr w:type="gramStart"/>
      <w:r w:rsidRPr="00A567D8">
        <w:rPr>
          <w:rFonts w:ascii="Times New Roman" w:hAnsi="Times New Roman"/>
          <w:sz w:val="20"/>
          <w:szCs w:val="20"/>
        </w:rPr>
        <w:t>TA(</w:t>
      </w:r>
      <w:proofErr w:type="gramEnd"/>
      <w:r w:rsidRPr="00A567D8">
        <w:rPr>
          <w:rFonts w:ascii="Times New Roman" w:hAnsi="Times New Roman"/>
          <w:sz w:val="20"/>
          <w:szCs w:val="20"/>
        </w:rPr>
        <w:t>2011)0444) (OJ 2013/C 94 E/05).</w:t>
      </w:r>
    </w:p>
    <w:p w14:paraId="0106E25E" w14:textId="77777777" w:rsidR="00935D82" w:rsidRDefault="00935D82" w:rsidP="00FF457A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F9F7388" w14:textId="5675F356" w:rsidR="00FF457A" w:rsidRPr="00A567D8" w:rsidRDefault="00FF457A" w:rsidP="00FF457A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567D8">
        <w:rPr>
          <w:rFonts w:ascii="Times New Roman" w:hAnsi="Times New Roman"/>
          <w:sz w:val="20"/>
          <w:szCs w:val="20"/>
        </w:rPr>
        <w:t>European Parliament resolution of 26 November 2015 on a new animal welfare strategy for 2016–2020 (2015/2957(RSP)) (OJ C 366, 27.10.2017).</w:t>
      </w:r>
    </w:p>
    <w:p w14:paraId="23202EE8" w14:textId="77777777" w:rsidR="00FF457A" w:rsidRPr="00A567D8" w:rsidRDefault="00FF457A" w:rsidP="00FF457A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24B42F8F" w14:textId="77777777" w:rsidR="00FF457A" w:rsidRPr="00A567D8" w:rsidRDefault="00FF457A" w:rsidP="00FF457A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A567D8">
        <w:rPr>
          <w:rFonts w:ascii="Times New Roman" w:hAnsi="Times New Roman"/>
          <w:sz w:val="20"/>
          <w:szCs w:val="20"/>
        </w:rPr>
        <w:t>European Parliament resolution of 25 February 2016 on the introduction of compatible systems for the registration of pet animals across Member States (2016/2540(RSP)) (OJ 2018/C 035/24).</w:t>
      </w:r>
    </w:p>
    <w:p w14:paraId="79E27495" w14:textId="77777777" w:rsidR="00FF457A" w:rsidRDefault="00FF457A" w:rsidP="00F4430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D08FC95" w14:textId="464255CD" w:rsidR="00F44307" w:rsidRPr="006C39AB" w:rsidRDefault="00F44307" w:rsidP="00F4430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C39AB">
        <w:rPr>
          <w:rFonts w:ascii="Times New Roman" w:hAnsi="Times New Roman"/>
          <w:sz w:val="20"/>
          <w:szCs w:val="20"/>
        </w:rPr>
        <w:lastRenderedPageBreak/>
        <w:t xml:space="preserve">Regulation of the Health </w:t>
      </w:r>
      <w:proofErr w:type="spellStart"/>
      <w:r w:rsidRPr="006C39AB">
        <w:rPr>
          <w:rFonts w:ascii="Times New Roman" w:hAnsi="Times New Roman"/>
          <w:sz w:val="20"/>
          <w:szCs w:val="20"/>
        </w:rPr>
        <w:t>Minister’s</w:t>
      </w:r>
      <w:proofErr w:type="spellEnd"/>
      <w:r w:rsidRPr="006C39AB">
        <w:rPr>
          <w:rFonts w:ascii="Times New Roman" w:hAnsi="Times New Roman"/>
          <w:sz w:val="20"/>
          <w:szCs w:val="20"/>
        </w:rPr>
        <w:t xml:space="preserve"> of 13 March 2020 on announcement of the epidemic risk in the Republic of Poland (Journal of Laws 2020, item 4233).</w:t>
      </w:r>
    </w:p>
    <w:p w14:paraId="4CCEA19E" w14:textId="77777777" w:rsidR="00F44307" w:rsidRPr="006C39AB" w:rsidRDefault="00F44307" w:rsidP="00F4430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C8807A2" w14:textId="77777777" w:rsidR="006A0B62" w:rsidRPr="006C39AB" w:rsidRDefault="006A0B62" w:rsidP="006A0B62">
      <w:pPr>
        <w:spacing w:after="0"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6C39AB">
        <w:rPr>
          <w:rFonts w:ascii="Times New Roman" w:hAnsi="Times New Roman"/>
          <w:smallCaps/>
          <w:sz w:val="20"/>
          <w:szCs w:val="20"/>
        </w:rPr>
        <w:t>Case law</w:t>
      </w:r>
    </w:p>
    <w:p w14:paraId="0999C612" w14:textId="77777777" w:rsidR="006A0B62" w:rsidRPr="006C39AB" w:rsidRDefault="006A0B62" w:rsidP="006A0B6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B504986" w14:textId="77777777" w:rsidR="006A0B62" w:rsidRPr="006C39AB" w:rsidRDefault="006A0B62" w:rsidP="006A0B6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6C39AB">
        <w:rPr>
          <w:rFonts w:ascii="Times New Roman" w:hAnsi="Times New Roman"/>
          <w:sz w:val="20"/>
          <w:szCs w:val="20"/>
          <w:lang w:val="en-US"/>
        </w:rPr>
        <w:t xml:space="preserve">Judgement of the Administrative Court in </w:t>
      </w:r>
      <w:proofErr w:type="spellStart"/>
      <w:r w:rsidRPr="006C39AB">
        <w:rPr>
          <w:rFonts w:ascii="Times New Roman" w:hAnsi="Times New Roman"/>
          <w:sz w:val="20"/>
          <w:szCs w:val="20"/>
          <w:lang w:val="en-US"/>
        </w:rPr>
        <w:t>Gdańsk</w:t>
      </w:r>
      <w:proofErr w:type="spellEnd"/>
      <w:r w:rsidRPr="006C39AB">
        <w:rPr>
          <w:rFonts w:ascii="Times New Roman" w:hAnsi="Times New Roman"/>
          <w:sz w:val="20"/>
          <w:szCs w:val="20"/>
          <w:lang w:val="en-US"/>
        </w:rPr>
        <w:t xml:space="preserve"> of 21 December 2016, III Au/12/9316, LEX 2191588.</w:t>
      </w:r>
    </w:p>
    <w:p w14:paraId="0221813C" w14:textId="77777777" w:rsidR="006A0B62" w:rsidRPr="006C39AB" w:rsidRDefault="006A0B62" w:rsidP="006A0B6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A678F78" w14:textId="17A26A96" w:rsidR="006A0B62" w:rsidRDefault="006A0B62" w:rsidP="006A0B6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6C39AB">
        <w:rPr>
          <w:rFonts w:ascii="Times New Roman" w:hAnsi="Times New Roman"/>
          <w:sz w:val="20"/>
          <w:szCs w:val="20"/>
          <w:lang w:val="en-US"/>
        </w:rPr>
        <w:t>Judgement of the Constitutional Tribunal of 13 March 2000, K 1/99, OTK 2000, no. 2, item 59.</w:t>
      </w:r>
    </w:p>
    <w:p w14:paraId="4CDFB5D0" w14:textId="3D4EC4AE" w:rsidR="00CD4CAD" w:rsidRDefault="00CD4CAD" w:rsidP="006A0B6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42ADDB43" w14:textId="77777777" w:rsidR="00CD4CAD" w:rsidRPr="006C39AB" w:rsidRDefault="00CD4CAD" w:rsidP="00CD4CA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6C39AB">
        <w:rPr>
          <w:rFonts w:ascii="Times New Roman" w:hAnsi="Times New Roman"/>
          <w:sz w:val="20"/>
          <w:szCs w:val="20"/>
          <w:lang w:val="en-US"/>
        </w:rPr>
        <w:t>Judgement of the Supreme Court of 19 April 2019, II PK 310/09, LEX no. 602698.</w:t>
      </w:r>
    </w:p>
    <w:p w14:paraId="11DC1211" w14:textId="78CF4382" w:rsidR="00CD4CAD" w:rsidRDefault="00CD4CAD" w:rsidP="006A0B6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425DD4D4" w14:textId="77777777" w:rsidR="00CD4CAD" w:rsidRPr="006C39AB" w:rsidRDefault="00CD4CAD" w:rsidP="006A0B6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AB72EB1" w14:textId="308703DC" w:rsidR="00A915BE" w:rsidRDefault="00A915BE" w:rsidP="00E50832">
      <w:pPr>
        <w:pStyle w:val="Bezodstpw"/>
        <w:jc w:val="both"/>
        <w:rPr>
          <w:rFonts w:ascii="Times" w:hAnsi="Times"/>
          <w:color w:val="C00000"/>
          <w:sz w:val="20"/>
          <w:szCs w:val="20"/>
          <w:lang w:val="en-US"/>
        </w:rPr>
      </w:pPr>
    </w:p>
    <w:p w14:paraId="6D3CA453" w14:textId="4A78FBD0" w:rsidR="00A915BE" w:rsidRDefault="00A915BE" w:rsidP="00E50832">
      <w:pPr>
        <w:pStyle w:val="Bezodstpw"/>
        <w:jc w:val="both"/>
        <w:rPr>
          <w:rFonts w:ascii="Times" w:hAnsi="Times"/>
          <w:color w:val="C00000"/>
          <w:sz w:val="20"/>
          <w:szCs w:val="20"/>
          <w:lang w:val="en-US"/>
        </w:rPr>
      </w:pPr>
    </w:p>
    <w:p w14:paraId="1E61378D" w14:textId="77777777" w:rsidR="00A915BE" w:rsidRPr="00A915BE" w:rsidRDefault="00A915BE" w:rsidP="00E50832">
      <w:pPr>
        <w:pStyle w:val="Bezodstpw"/>
        <w:jc w:val="both"/>
        <w:rPr>
          <w:rFonts w:ascii="Times" w:hAnsi="Times"/>
          <w:color w:val="C00000"/>
          <w:sz w:val="20"/>
          <w:szCs w:val="20"/>
          <w:lang w:val="en-US"/>
        </w:rPr>
      </w:pPr>
    </w:p>
    <w:p w14:paraId="21CA6494" w14:textId="31F3759E" w:rsidR="00CA0F46" w:rsidRDefault="00380CF5" w:rsidP="002D7632">
      <w:pPr>
        <w:pStyle w:val="Bezodstpw"/>
        <w:jc w:val="both"/>
        <w:rPr>
          <w:rFonts w:ascii="Times" w:hAnsi="Times"/>
          <w:b/>
          <w:bCs/>
          <w:color w:val="7030A0"/>
          <w:sz w:val="20"/>
          <w:szCs w:val="20"/>
          <w:lang w:val="pl-PL"/>
        </w:rPr>
      </w:pPr>
      <w:r w:rsidRPr="00380CF5">
        <w:rPr>
          <w:rFonts w:ascii="Times" w:hAnsi="Times"/>
          <w:b/>
          <w:bCs/>
          <w:color w:val="7030A0"/>
          <w:sz w:val="20"/>
          <w:szCs w:val="20"/>
          <w:lang w:val="pl-PL"/>
        </w:rPr>
        <w:t xml:space="preserve">Glosy są publikowane w języku </w:t>
      </w:r>
      <w:r w:rsidR="00655341">
        <w:rPr>
          <w:rFonts w:ascii="Times" w:hAnsi="Times"/>
          <w:b/>
          <w:bCs/>
          <w:color w:val="7030A0"/>
          <w:sz w:val="20"/>
          <w:szCs w:val="20"/>
          <w:lang w:val="pl-PL"/>
        </w:rPr>
        <w:t>angielskim</w:t>
      </w:r>
      <w:r w:rsidRPr="00380CF5">
        <w:rPr>
          <w:rFonts w:ascii="Times" w:hAnsi="Times"/>
          <w:b/>
          <w:bCs/>
          <w:color w:val="7030A0"/>
          <w:sz w:val="20"/>
          <w:szCs w:val="20"/>
          <w:lang w:val="pl-PL"/>
        </w:rPr>
        <w:t xml:space="preserve"> albo w języku</w:t>
      </w:r>
      <w:r w:rsidR="00655341">
        <w:rPr>
          <w:rFonts w:ascii="Times" w:hAnsi="Times"/>
          <w:b/>
          <w:bCs/>
          <w:color w:val="7030A0"/>
          <w:sz w:val="20"/>
          <w:szCs w:val="20"/>
          <w:lang w:val="pl-PL"/>
        </w:rPr>
        <w:t xml:space="preserve"> polskim,</w:t>
      </w:r>
      <w:r w:rsidR="00CA0F46" w:rsidRPr="00CA0F46">
        <w:rPr>
          <w:rFonts w:ascii="Times" w:hAnsi="Times"/>
          <w:b/>
          <w:bCs/>
          <w:color w:val="7030A0"/>
          <w:sz w:val="20"/>
          <w:szCs w:val="20"/>
          <w:lang w:val="pl-PL"/>
        </w:rPr>
        <w:t xml:space="preserve"> co </w:t>
      </w:r>
      <w:r w:rsidR="00655341">
        <w:rPr>
          <w:rFonts w:ascii="Times" w:hAnsi="Times"/>
          <w:b/>
          <w:bCs/>
          <w:color w:val="7030A0"/>
          <w:sz w:val="20"/>
          <w:szCs w:val="20"/>
          <w:lang w:val="pl-PL"/>
        </w:rPr>
        <w:t>jest</w:t>
      </w:r>
      <w:r w:rsidR="00CA0F46" w:rsidRPr="00CA0F46">
        <w:rPr>
          <w:rFonts w:ascii="Times" w:hAnsi="Times"/>
          <w:b/>
          <w:bCs/>
          <w:color w:val="7030A0"/>
          <w:sz w:val="20"/>
          <w:szCs w:val="20"/>
          <w:lang w:val="pl-PL"/>
        </w:rPr>
        <w:t xml:space="preserve"> zasad</w:t>
      </w:r>
      <w:r w:rsidR="00655341">
        <w:rPr>
          <w:rFonts w:ascii="Times" w:hAnsi="Times"/>
          <w:b/>
          <w:bCs/>
          <w:color w:val="7030A0"/>
          <w:sz w:val="20"/>
          <w:szCs w:val="20"/>
          <w:lang w:val="pl-PL"/>
        </w:rPr>
        <w:t>ą</w:t>
      </w:r>
      <w:r w:rsidR="00CA0F46" w:rsidRPr="00CA0F46">
        <w:rPr>
          <w:rFonts w:ascii="Times" w:hAnsi="Times"/>
          <w:b/>
          <w:bCs/>
          <w:color w:val="7030A0"/>
          <w:sz w:val="20"/>
          <w:szCs w:val="20"/>
          <w:lang w:val="pl-PL"/>
        </w:rPr>
        <w:t>, ze względu na praktyczny wymiar tej formy publikacji oraz specyfikę polskiego języka prawnego, a tym samym możliwość prowadzenia stałego dialogu między sądami i doktryną prawa.</w:t>
      </w:r>
    </w:p>
    <w:p w14:paraId="3828AC0D" w14:textId="77777777" w:rsidR="00CA0F46" w:rsidRPr="009F1515" w:rsidRDefault="00CA0F46" w:rsidP="002D7632">
      <w:pPr>
        <w:pStyle w:val="Bezodstpw"/>
        <w:jc w:val="both"/>
        <w:rPr>
          <w:rFonts w:ascii="Times" w:hAnsi="Times"/>
          <w:b/>
          <w:bCs/>
          <w:color w:val="7030A0"/>
          <w:sz w:val="20"/>
          <w:szCs w:val="20"/>
          <w:lang w:val="pl-PL"/>
        </w:rPr>
      </w:pPr>
    </w:p>
    <w:p w14:paraId="5BA46721" w14:textId="5D54D612" w:rsidR="00A42C34" w:rsidRPr="009F1515" w:rsidRDefault="00DF55B9" w:rsidP="00BA5B2B">
      <w:pPr>
        <w:pStyle w:val="Bezodstpw"/>
        <w:jc w:val="both"/>
        <w:rPr>
          <w:rFonts w:ascii="Times" w:hAnsi="Times"/>
          <w:b/>
          <w:bCs/>
          <w:color w:val="7030A0"/>
          <w:sz w:val="20"/>
          <w:szCs w:val="20"/>
          <w:lang w:val="pl-PL"/>
        </w:rPr>
      </w:pPr>
      <w:r w:rsidRPr="009F1515">
        <w:rPr>
          <w:rFonts w:ascii="Times" w:hAnsi="Times"/>
          <w:b/>
          <w:bCs/>
          <w:color w:val="7030A0"/>
          <w:sz w:val="20"/>
          <w:szCs w:val="20"/>
          <w:lang w:val="pl-PL"/>
        </w:rPr>
        <w:t>Autor i recenzenci nie znają swojej tożsamości. Redakcja przed wysłaniem tekstu do recenzji usuwa wsz</w:t>
      </w:r>
      <w:r w:rsidR="00897464" w:rsidRPr="009F1515">
        <w:rPr>
          <w:rFonts w:ascii="Times" w:hAnsi="Times"/>
          <w:b/>
          <w:bCs/>
          <w:color w:val="7030A0"/>
          <w:sz w:val="20"/>
          <w:szCs w:val="20"/>
          <w:lang w:val="pl-PL"/>
        </w:rPr>
        <w:t>yst</w:t>
      </w:r>
      <w:r w:rsidRPr="009F1515">
        <w:rPr>
          <w:rFonts w:ascii="Times" w:hAnsi="Times"/>
          <w:b/>
          <w:bCs/>
          <w:color w:val="7030A0"/>
          <w:sz w:val="20"/>
          <w:szCs w:val="20"/>
          <w:lang w:val="pl-PL"/>
        </w:rPr>
        <w:t xml:space="preserve">kie dane, które mogłyby pozwolić na ustalenie tożsamości autora manuskryptu. </w:t>
      </w:r>
    </w:p>
    <w:p w14:paraId="44FD59A9" w14:textId="2D156EBB" w:rsidR="00B74E93" w:rsidRDefault="00B74E93" w:rsidP="00A42C3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A45C750" w14:textId="77777777" w:rsidR="00E340C5" w:rsidRDefault="00E340C5" w:rsidP="00A42C3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3CD6A0F" w14:textId="799E6535" w:rsidR="00A42C34" w:rsidRPr="00A42C34" w:rsidRDefault="00A42C34" w:rsidP="00A42C34">
      <w:pPr>
        <w:spacing w:after="0" w:line="360" w:lineRule="auto"/>
        <w:contextualSpacing/>
        <w:jc w:val="both"/>
        <w:rPr>
          <w:rFonts w:ascii="Times" w:hAnsi="Times"/>
          <w:color w:val="808080" w:themeColor="background1" w:themeShade="80"/>
          <w:sz w:val="28"/>
          <w:szCs w:val="28"/>
          <w:lang w:val="pl-PL"/>
        </w:rPr>
      </w:pPr>
      <w:r w:rsidRPr="00A42C34">
        <w:rPr>
          <w:rFonts w:ascii="Times New Roman" w:hAnsi="Times New Roman"/>
          <w:sz w:val="24"/>
          <w:szCs w:val="24"/>
          <w:lang w:val="pl-PL"/>
        </w:rPr>
        <w:t xml:space="preserve">Jan Kowalski </w:t>
      </w:r>
      <w:r w:rsidRPr="00A42C34">
        <w:rPr>
          <w:rFonts w:ascii="Times" w:hAnsi="Times"/>
          <w:color w:val="808080"/>
          <w:sz w:val="24"/>
          <w:szCs w:val="24"/>
          <w:lang w:val="pl-PL"/>
        </w:rPr>
        <w:t xml:space="preserve">(imię i nazwisko - Times New Roman, 12 </w:t>
      </w:r>
      <w:proofErr w:type="spellStart"/>
      <w:r w:rsidRPr="00A42C34">
        <w:rPr>
          <w:rFonts w:ascii="Times" w:hAnsi="Times"/>
          <w:color w:val="808080"/>
          <w:sz w:val="24"/>
          <w:szCs w:val="24"/>
          <w:lang w:val="pl-PL"/>
        </w:rPr>
        <w:t>pt</w:t>
      </w:r>
      <w:proofErr w:type="spellEnd"/>
      <w:r w:rsidRPr="00A42C34">
        <w:rPr>
          <w:rFonts w:ascii="Times" w:hAnsi="Times"/>
          <w:color w:val="808080"/>
          <w:sz w:val="24"/>
          <w:szCs w:val="24"/>
          <w:lang w:val="pl-PL"/>
        </w:rPr>
        <w:t>)</w:t>
      </w:r>
    </w:p>
    <w:p w14:paraId="3A6A87BC" w14:textId="4F707CC0" w:rsidR="00A42C34" w:rsidRPr="00A42C34" w:rsidRDefault="00A42C34" w:rsidP="00A42C34">
      <w:pPr>
        <w:spacing w:after="0" w:line="360" w:lineRule="auto"/>
        <w:contextualSpacing/>
        <w:jc w:val="both"/>
        <w:rPr>
          <w:rFonts w:ascii="Times New Roman" w:hAnsi="Times New Roman"/>
          <w:color w:val="808080" w:themeColor="background1" w:themeShade="80"/>
          <w:sz w:val="20"/>
          <w:szCs w:val="20"/>
          <w:lang w:val="pl-PL"/>
        </w:rPr>
      </w:pPr>
      <w:r w:rsidRPr="00A42C34">
        <w:rPr>
          <w:rFonts w:ascii="Times New Roman" w:hAnsi="Times New Roman"/>
          <w:sz w:val="20"/>
          <w:szCs w:val="20"/>
          <w:lang w:val="pl-PL"/>
        </w:rPr>
        <w:t>Uniwersytet Marii Curie-Skłodowskiej w Lublinie, Pol</w:t>
      </w:r>
      <w:r>
        <w:rPr>
          <w:rFonts w:ascii="Times New Roman" w:hAnsi="Times New Roman"/>
          <w:sz w:val="20"/>
          <w:szCs w:val="20"/>
          <w:lang w:val="pl-PL"/>
        </w:rPr>
        <w:t>ska</w:t>
      </w:r>
      <w:r w:rsidRPr="00A42C34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A42C34">
        <w:rPr>
          <w:rFonts w:ascii="Times New Roman" w:hAnsi="Times New Roman"/>
          <w:color w:val="808080" w:themeColor="background1" w:themeShade="80"/>
          <w:sz w:val="20"/>
          <w:szCs w:val="20"/>
          <w:lang w:val="pl-PL"/>
        </w:rPr>
        <w:t>(af</w:t>
      </w:r>
      <w:r>
        <w:rPr>
          <w:rFonts w:ascii="Times New Roman" w:hAnsi="Times New Roman"/>
          <w:color w:val="808080" w:themeColor="background1" w:themeShade="80"/>
          <w:sz w:val="20"/>
          <w:szCs w:val="20"/>
          <w:lang w:val="pl-PL"/>
        </w:rPr>
        <w:t>iliacja</w:t>
      </w:r>
      <w:r w:rsidRPr="00A42C34">
        <w:rPr>
          <w:rFonts w:ascii="Times New Roman" w:hAnsi="Times New Roman"/>
          <w:color w:val="808080" w:themeColor="background1" w:themeShade="80"/>
          <w:sz w:val="20"/>
          <w:szCs w:val="20"/>
          <w:lang w:val="pl-PL"/>
        </w:rPr>
        <w:t xml:space="preserve"> - Times New Roman, 10 </w:t>
      </w:r>
      <w:proofErr w:type="spellStart"/>
      <w:r w:rsidRPr="00A42C34">
        <w:rPr>
          <w:rFonts w:ascii="Times New Roman" w:hAnsi="Times New Roman"/>
          <w:color w:val="808080" w:themeColor="background1" w:themeShade="80"/>
          <w:sz w:val="20"/>
          <w:szCs w:val="20"/>
          <w:lang w:val="pl-PL"/>
        </w:rPr>
        <w:t>pt</w:t>
      </w:r>
      <w:proofErr w:type="spellEnd"/>
      <w:r w:rsidRPr="00A42C34">
        <w:rPr>
          <w:rFonts w:ascii="Times New Roman" w:hAnsi="Times New Roman"/>
          <w:color w:val="808080" w:themeColor="background1" w:themeShade="80"/>
          <w:sz w:val="20"/>
          <w:szCs w:val="20"/>
          <w:lang w:val="pl-PL"/>
        </w:rPr>
        <w:t>)</w:t>
      </w:r>
    </w:p>
    <w:p w14:paraId="23E5F950" w14:textId="77777777" w:rsidR="00A42C34" w:rsidRPr="003C697D" w:rsidRDefault="00A42C34" w:rsidP="00A42C34">
      <w:pPr>
        <w:spacing w:after="0" w:line="360" w:lineRule="auto"/>
        <w:contextualSpacing/>
        <w:jc w:val="both"/>
        <w:rPr>
          <w:rFonts w:ascii="Times New Roman" w:hAnsi="Times New Roman"/>
          <w:color w:val="808080" w:themeColor="background1" w:themeShade="80"/>
          <w:sz w:val="20"/>
          <w:szCs w:val="20"/>
        </w:rPr>
      </w:pPr>
      <w:r w:rsidRPr="00A567D8">
        <w:rPr>
          <w:rFonts w:ascii="Times New Roman" w:hAnsi="Times New Roman"/>
          <w:sz w:val="20"/>
          <w:szCs w:val="20"/>
        </w:rPr>
        <w:t>ORCID: 0000-000</w:t>
      </w:r>
      <w:r>
        <w:rPr>
          <w:rFonts w:ascii="Times New Roman" w:hAnsi="Times New Roman"/>
          <w:sz w:val="20"/>
          <w:szCs w:val="20"/>
        </w:rPr>
        <w:t>0</w:t>
      </w:r>
      <w:r w:rsidRPr="00A567D8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0000</w:t>
      </w:r>
      <w:r w:rsidRPr="00A567D8">
        <w:rPr>
          <w:rFonts w:ascii="Times New Roman" w:hAnsi="Times New Roman"/>
          <w:sz w:val="20"/>
          <w:szCs w:val="20"/>
        </w:rPr>
        <w:t>-0</w:t>
      </w:r>
      <w:r>
        <w:rPr>
          <w:rFonts w:ascii="Times New Roman" w:hAnsi="Times New Roman"/>
          <w:sz w:val="20"/>
          <w:szCs w:val="20"/>
        </w:rPr>
        <w:t xml:space="preserve">000 </w:t>
      </w:r>
      <w:r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(Times New Roman, 10 </w:t>
      </w:r>
      <w:proofErr w:type="spellStart"/>
      <w:r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>pt</w:t>
      </w:r>
      <w:proofErr w:type="spellEnd"/>
      <w:r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>)</w:t>
      </w:r>
    </w:p>
    <w:p w14:paraId="489A2683" w14:textId="7B3E3884" w:rsidR="00A42C34" w:rsidRDefault="00A42C34" w:rsidP="00A42C34">
      <w:pPr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Pr="00A567D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kowalski</w:t>
      </w:r>
      <w:r w:rsidRPr="00A567D8">
        <w:rPr>
          <w:rFonts w:ascii="Times New Roman" w:hAnsi="Times New Roman"/>
          <w:sz w:val="20"/>
          <w:szCs w:val="20"/>
        </w:rPr>
        <w:t>@umcs.pl</w:t>
      </w:r>
      <w:r>
        <w:rPr>
          <w:rFonts w:ascii="Times New Roman" w:hAnsi="Times New Roman"/>
          <w:sz w:val="20"/>
          <w:szCs w:val="20"/>
        </w:rPr>
        <w:t xml:space="preserve"> </w:t>
      </w:r>
      <w:r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>(</w:t>
      </w:r>
      <w:r w:rsidRPr="005C1D02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e-mail address </w:t>
      </w:r>
      <w:r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- </w:t>
      </w:r>
      <w:r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Times New Roman, 10 </w:t>
      </w:r>
      <w:proofErr w:type="spellStart"/>
      <w:r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>pt</w:t>
      </w:r>
      <w:proofErr w:type="spellEnd"/>
      <w:r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>)</w:t>
      </w:r>
    </w:p>
    <w:p w14:paraId="721C48CD" w14:textId="102D9C44" w:rsidR="00A42C34" w:rsidRDefault="00A42C34" w:rsidP="00A42C34">
      <w:pPr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40D09101" w14:textId="77777777" w:rsidR="00E340C5" w:rsidRPr="00C448FF" w:rsidRDefault="00E340C5" w:rsidP="00A42C34">
      <w:pPr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6E80779" w14:textId="77777777" w:rsidR="00CE4FE0" w:rsidRPr="00CE4FE0" w:rsidRDefault="00A42C34" w:rsidP="00A42C34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pl-PL"/>
        </w:rPr>
      </w:pPr>
      <w:r w:rsidRPr="00CE4FE0">
        <w:rPr>
          <w:rFonts w:ascii="Times New Roman" w:hAnsi="Times New Roman"/>
          <w:sz w:val="24"/>
          <w:szCs w:val="24"/>
          <w:lang w:val="pl-PL"/>
        </w:rPr>
        <w:t xml:space="preserve">Tytuł </w:t>
      </w:r>
      <w:r w:rsidR="00DC258D" w:rsidRPr="00CE4FE0">
        <w:rPr>
          <w:rFonts w:ascii="Times New Roman" w:hAnsi="Times New Roman"/>
          <w:sz w:val="24"/>
          <w:szCs w:val="24"/>
          <w:lang w:val="pl-PL"/>
        </w:rPr>
        <w:t>glosy</w:t>
      </w:r>
      <w:r w:rsidRPr="00CE4FE0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221D9EE" w14:textId="245FA521" w:rsidR="00A42C34" w:rsidRPr="00CE4FE0" w:rsidRDefault="00CE4FE0" w:rsidP="00A42C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Przykład: </w:t>
      </w:r>
      <w:r w:rsidRPr="00CE4FE0">
        <w:rPr>
          <w:rFonts w:ascii="Times New Roman" w:hAnsi="Times New Roman"/>
          <w:b/>
          <w:bCs/>
          <w:sz w:val="24"/>
          <w:szCs w:val="24"/>
          <w:lang w:val="pl-PL"/>
        </w:rPr>
        <w:t>Obudowa górnicza jako odrębny od wyrobiska obiekt – konstrukcja oporowa, podlega opodatkowaniu podatkiem od nieruchomości. Glosa aprobująca do wyroku Naczelnego Sądu Administracyjnego z dnia 10 stycznia 2020 r. (II FSK 532/18, LEX nr 2777589)</w:t>
      </w:r>
    </w:p>
    <w:p w14:paraId="40F35264" w14:textId="7404012F" w:rsidR="00950334" w:rsidRDefault="00A42C34" w:rsidP="004109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sectPr w:rsidR="00950334" w:rsidSect="00E17C47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500F9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 xml:space="preserve">(Times New Roman, 12 </w:t>
      </w:r>
      <w:proofErr w:type="spellStart"/>
      <w:r w:rsidRPr="00E500F9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pt</w:t>
      </w:r>
      <w:proofErr w:type="spellEnd"/>
      <w:r w:rsidRPr="00E500F9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, Bold)</w:t>
      </w:r>
    </w:p>
    <w:p w14:paraId="63A0E4C9" w14:textId="77777777" w:rsidR="00950334" w:rsidRDefault="00950334" w:rsidP="0041092B">
      <w:pPr>
        <w:spacing w:after="0" w:line="360" w:lineRule="auto"/>
        <w:contextualSpacing/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sectPr w:rsidR="00950334" w:rsidSect="0095033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87C5DF" w14:textId="55402A4C" w:rsidR="00BA5B2B" w:rsidRDefault="00BA5B2B" w:rsidP="0041092B">
      <w:pPr>
        <w:jc w:val="center"/>
        <w:rPr>
          <w:rFonts w:ascii="Times" w:hAnsi="Times"/>
          <w:color w:val="808080" w:themeColor="background1" w:themeShade="80"/>
          <w:sz w:val="20"/>
          <w:szCs w:val="20"/>
        </w:rPr>
      </w:pPr>
      <w:r w:rsidRPr="00E500F9">
        <w:rPr>
          <w:rFonts w:ascii="Times" w:hAnsi="Times"/>
          <w:sz w:val="20"/>
          <w:szCs w:val="20"/>
        </w:rPr>
        <w:t>ABSTRA</w:t>
      </w:r>
      <w:r w:rsidR="00EB3F1D">
        <w:rPr>
          <w:rFonts w:ascii="Times" w:hAnsi="Times"/>
          <w:sz w:val="20"/>
          <w:szCs w:val="20"/>
        </w:rPr>
        <w:t>K</w:t>
      </w:r>
      <w:r w:rsidRPr="00E500F9">
        <w:rPr>
          <w:rFonts w:ascii="Times" w:hAnsi="Times"/>
          <w:sz w:val="20"/>
          <w:szCs w:val="20"/>
        </w:rPr>
        <w:t>T</w:t>
      </w:r>
      <w:r>
        <w:rPr>
          <w:rFonts w:ascii="Times" w:hAnsi="Times"/>
          <w:sz w:val="20"/>
          <w:szCs w:val="20"/>
        </w:rPr>
        <w:t xml:space="preserve"> </w:t>
      </w:r>
      <w:r w:rsidRPr="00E500F9">
        <w:rPr>
          <w:rFonts w:ascii="Times" w:hAnsi="Times"/>
          <w:color w:val="808080" w:themeColor="background1" w:themeShade="80"/>
          <w:sz w:val="20"/>
          <w:szCs w:val="20"/>
        </w:rPr>
        <w:t xml:space="preserve">(Times New Roman, 10 </w:t>
      </w:r>
      <w:proofErr w:type="spellStart"/>
      <w:r w:rsidRPr="00E500F9">
        <w:rPr>
          <w:rFonts w:ascii="Times" w:hAnsi="Times"/>
          <w:color w:val="808080" w:themeColor="background1" w:themeShade="80"/>
          <w:sz w:val="20"/>
          <w:szCs w:val="20"/>
        </w:rPr>
        <w:t>pt</w:t>
      </w:r>
      <w:proofErr w:type="spellEnd"/>
      <w:r>
        <w:rPr>
          <w:rFonts w:ascii="Times" w:hAnsi="Times"/>
          <w:color w:val="808080" w:themeColor="background1" w:themeShade="80"/>
          <w:sz w:val="20"/>
          <w:szCs w:val="20"/>
        </w:rPr>
        <w:t>, 100-250 words</w:t>
      </w:r>
      <w:r w:rsidRPr="00E500F9">
        <w:rPr>
          <w:rFonts w:ascii="Times" w:hAnsi="Times"/>
          <w:color w:val="808080" w:themeColor="background1" w:themeShade="80"/>
          <w:sz w:val="20"/>
          <w:szCs w:val="20"/>
        </w:rPr>
        <w:t>)</w:t>
      </w:r>
    </w:p>
    <w:p w14:paraId="73967DA5" w14:textId="4DA8AF46" w:rsidR="00F33929" w:rsidRPr="00C448FF" w:rsidRDefault="004C5A4C" w:rsidP="00906C58">
      <w:pPr>
        <w:spacing w:line="240" w:lineRule="auto"/>
        <w:ind w:firstLine="708"/>
        <w:jc w:val="both"/>
        <w:rPr>
          <w:rFonts w:ascii="Times" w:hAnsi="Times"/>
          <w:color w:val="000000" w:themeColor="text1"/>
          <w:sz w:val="20"/>
          <w:szCs w:val="20"/>
          <w:lang w:val="pl-PL"/>
        </w:rPr>
      </w:pPr>
      <w:r w:rsidRPr="004C5A4C">
        <w:rPr>
          <w:rFonts w:ascii="Times" w:hAnsi="Times"/>
          <w:color w:val="000000" w:themeColor="text1"/>
          <w:sz w:val="20"/>
          <w:szCs w:val="20"/>
          <w:lang w:val="pl-PL"/>
        </w:rPr>
        <w:t>Abstrakt powinien liczyć od 100 do 250 słów.</w:t>
      </w:r>
      <w:r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F33929" w:rsidRPr="00F33929">
        <w:rPr>
          <w:rFonts w:ascii="Times" w:hAnsi="Times"/>
          <w:color w:val="000000" w:themeColor="text1"/>
          <w:sz w:val="20"/>
          <w:szCs w:val="20"/>
          <w:lang w:val="pl-PL"/>
        </w:rPr>
        <w:t>Autor dołącza do glosy abstrakt w języku angielskim i polskim.</w:t>
      </w:r>
      <w:r w:rsidR="00F33929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F33929" w:rsidRPr="00F33929">
        <w:rPr>
          <w:rFonts w:ascii="Times" w:hAnsi="Times"/>
          <w:color w:val="000000" w:themeColor="text1"/>
          <w:sz w:val="20"/>
          <w:szCs w:val="20"/>
          <w:lang w:val="pl-PL"/>
        </w:rPr>
        <w:t>Autor będący obcokrajowcem dołącza do glosy abstrakt w języku angielskim. W tym przypadku tłumaczenia na język polski dokonuje Redakcja. Abstrakt powinien określać:</w:t>
      </w:r>
      <w:r w:rsidR="00F33929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F33929" w:rsidRPr="00F33929">
        <w:rPr>
          <w:rFonts w:ascii="Times" w:hAnsi="Times"/>
          <w:color w:val="000000" w:themeColor="text1"/>
          <w:sz w:val="20"/>
          <w:szCs w:val="20"/>
          <w:lang w:val="pl-PL"/>
        </w:rPr>
        <w:t>charakter glosy</w:t>
      </w:r>
      <w:r w:rsidR="00906C58">
        <w:rPr>
          <w:rFonts w:ascii="Times" w:hAnsi="Times"/>
          <w:color w:val="000000" w:themeColor="text1"/>
          <w:sz w:val="20"/>
          <w:szCs w:val="20"/>
          <w:lang w:val="pl-PL"/>
        </w:rPr>
        <w:t xml:space="preserve"> - </w:t>
      </w:r>
      <w:r w:rsidR="00F33929" w:rsidRPr="00F33929">
        <w:rPr>
          <w:rFonts w:ascii="Times" w:hAnsi="Times"/>
          <w:color w:val="000000" w:themeColor="text1"/>
          <w:sz w:val="20"/>
          <w:szCs w:val="20"/>
          <w:lang w:val="pl-PL"/>
        </w:rPr>
        <w:t>krytyczna,</w:t>
      </w:r>
      <w:r w:rsidR="00906C58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F33929" w:rsidRPr="00F33929">
        <w:rPr>
          <w:rFonts w:ascii="Times" w:hAnsi="Times"/>
          <w:color w:val="000000" w:themeColor="text1"/>
          <w:sz w:val="20"/>
          <w:szCs w:val="20"/>
          <w:lang w:val="pl-PL"/>
        </w:rPr>
        <w:t>częściowo aprobująca (zasadniczo krytyczna z elementami aprobującymi),</w:t>
      </w:r>
      <w:r w:rsidR="00906C58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F33929" w:rsidRPr="00F33929">
        <w:rPr>
          <w:rFonts w:ascii="Times" w:hAnsi="Times"/>
          <w:color w:val="000000" w:themeColor="text1"/>
          <w:sz w:val="20"/>
          <w:szCs w:val="20"/>
          <w:lang w:val="pl-PL"/>
        </w:rPr>
        <w:t>częściowo krytyczna (zasadniczo aprobująca z elementami krytycznymi),</w:t>
      </w:r>
      <w:r w:rsidR="00906C58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F33929" w:rsidRPr="00F33929">
        <w:rPr>
          <w:rFonts w:ascii="Times" w:hAnsi="Times"/>
          <w:color w:val="000000" w:themeColor="text1"/>
          <w:sz w:val="20"/>
          <w:szCs w:val="20"/>
          <w:lang w:val="pl-PL"/>
        </w:rPr>
        <w:t>aprobująca;</w:t>
      </w:r>
      <w:r w:rsidR="00906C58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F33929" w:rsidRPr="00F33929">
        <w:rPr>
          <w:rFonts w:ascii="Times" w:hAnsi="Times"/>
          <w:color w:val="000000" w:themeColor="text1"/>
          <w:sz w:val="20"/>
          <w:szCs w:val="20"/>
          <w:lang w:val="pl-PL"/>
        </w:rPr>
        <w:t>problem badawczy wraz z syntezą stanu faktycznego i prawnego;</w:t>
      </w:r>
      <w:r w:rsidR="00906C58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F33929" w:rsidRPr="00F33929">
        <w:rPr>
          <w:rFonts w:ascii="Times" w:hAnsi="Times"/>
          <w:color w:val="000000" w:themeColor="text1"/>
          <w:sz w:val="20"/>
          <w:szCs w:val="20"/>
          <w:lang w:val="pl-PL"/>
        </w:rPr>
        <w:t>główne tezy;</w:t>
      </w:r>
      <w:r w:rsidR="00906C58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F33929" w:rsidRPr="00F33929">
        <w:rPr>
          <w:rFonts w:ascii="Times" w:hAnsi="Times"/>
          <w:color w:val="000000" w:themeColor="text1"/>
          <w:sz w:val="20"/>
          <w:szCs w:val="20"/>
          <w:lang w:val="pl-PL"/>
        </w:rPr>
        <w:t>oryginalność wyników;</w:t>
      </w:r>
      <w:r w:rsidR="00906C58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F33929" w:rsidRPr="00F33929">
        <w:rPr>
          <w:rFonts w:ascii="Times" w:hAnsi="Times"/>
          <w:color w:val="000000" w:themeColor="text1"/>
          <w:sz w:val="20"/>
          <w:szCs w:val="20"/>
          <w:lang w:val="pl-PL"/>
        </w:rPr>
        <w:t>wartość poznawczą dla nauki lub praktyki.</w:t>
      </w:r>
    </w:p>
    <w:p w14:paraId="6EB42424" w14:textId="66787853" w:rsidR="00886EC0" w:rsidRPr="00E503DF" w:rsidRDefault="00217DF0" w:rsidP="00E503DF">
      <w:pPr>
        <w:spacing w:line="240" w:lineRule="auto"/>
        <w:ind w:firstLine="708"/>
        <w:jc w:val="both"/>
        <w:rPr>
          <w:rFonts w:ascii="Times" w:hAnsi="Times"/>
          <w:color w:val="000000" w:themeColor="text1"/>
          <w:sz w:val="20"/>
          <w:szCs w:val="20"/>
          <w:lang w:val="pl-PL"/>
        </w:rPr>
      </w:pPr>
      <w:r>
        <w:rPr>
          <w:rFonts w:ascii="Times" w:hAnsi="Times"/>
          <w:b/>
          <w:bCs/>
          <w:color w:val="000000" w:themeColor="text1"/>
          <w:sz w:val="20"/>
          <w:szCs w:val="20"/>
          <w:lang w:val="pl-PL"/>
        </w:rPr>
        <w:t>Słowa kluczowe</w:t>
      </w:r>
      <w:r w:rsidR="00BA5B2B" w:rsidRPr="00217DF0">
        <w:rPr>
          <w:rFonts w:ascii="Times" w:hAnsi="Times"/>
          <w:b/>
          <w:bCs/>
          <w:color w:val="000000" w:themeColor="text1"/>
          <w:sz w:val="20"/>
          <w:szCs w:val="20"/>
          <w:lang w:val="pl-PL"/>
        </w:rPr>
        <w:t>:</w:t>
      </w:r>
      <w:r w:rsidR="00BA5B2B" w:rsidRPr="00217DF0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BA5B2B" w:rsidRPr="00217DF0">
        <w:rPr>
          <w:rFonts w:ascii="Times" w:hAnsi="Times"/>
          <w:color w:val="44546A" w:themeColor="text2"/>
          <w:sz w:val="20"/>
          <w:szCs w:val="20"/>
          <w:lang w:val="pl-PL"/>
        </w:rPr>
        <w:t xml:space="preserve">(Times New Roman, 10 </w:t>
      </w:r>
      <w:proofErr w:type="spellStart"/>
      <w:r w:rsidR="00BA5B2B" w:rsidRPr="00217DF0">
        <w:rPr>
          <w:rFonts w:ascii="Times" w:hAnsi="Times"/>
          <w:color w:val="44546A" w:themeColor="text2"/>
          <w:sz w:val="20"/>
          <w:szCs w:val="20"/>
          <w:lang w:val="pl-PL"/>
        </w:rPr>
        <w:t>pt</w:t>
      </w:r>
      <w:proofErr w:type="spellEnd"/>
      <w:r w:rsidR="00BA5B2B" w:rsidRPr="00217DF0">
        <w:rPr>
          <w:rFonts w:ascii="Times" w:hAnsi="Times"/>
          <w:color w:val="44546A" w:themeColor="text2"/>
          <w:sz w:val="20"/>
          <w:szCs w:val="20"/>
          <w:lang w:val="pl-PL"/>
        </w:rPr>
        <w:t xml:space="preserve">, </w:t>
      </w:r>
      <w:r w:rsidRPr="00217DF0">
        <w:rPr>
          <w:rFonts w:ascii="Times" w:hAnsi="Times"/>
          <w:color w:val="44546A" w:themeColor="text2"/>
          <w:sz w:val="20"/>
          <w:szCs w:val="20"/>
          <w:lang w:val="pl-PL"/>
        </w:rPr>
        <w:t xml:space="preserve">od </w:t>
      </w:r>
      <w:r w:rsidR="00BA5B2B" w:rsidRPr="00217DF0">
        <w:rPr>
          <w:rFonts w:ascii="Times" w:hAnsi="Times"/>
          <w:color w:val="44546A" w:themeColor="text2"/>
          <w:sz w:val="20"/>
          <w:szCs w:val="20"/>
          <w:lang w:val="pl-PL"/>
        </w:rPr>
        <w:t>3</w:t>
      </w:r>
      <w:r w:rsidRPr="00217DF0">
        <w:rPr>
          <w:rFonts w:ascii="Times" w:hAnsi="Times"/>
          <w:color w:val="44546A" w:themeColor="text2"/>
          <w:sz w:val="20"/>
          <w:szCs w:val="20"/>
          <w:lang w:val="pl-PL"/>
        </w:rPr>
        <w:t xml:space="preserve"> do </w:t>
      </w:r>
      <w:r w:rsidR="00BA5B2B" w:rsidRPr="00217DF0">
        <w:rPr>
          <w:rFonts w:ascii="Times" w:hAnsi="Times"/>
          <w:color w:val="44546A" w:themeColor="text2"/>
          <w:sz w:val="20"/>
          <w:szCs w:val="20"/>
          <w:lang w:val="pl-PL"/>
        </w:rPr>
        <w:t xml:space="preserve">6 </w:t>
      </w:r>
      <w:r w:rsidRPr="00217DF0">
        <w:rPr>
          <w:rFonts w:ascii="Times" w:hAnsi="Times"/>
          <w:color w:val="44546A" w:themeColor="text2"/>
          <w:sz w:val="20"/>
          <w:szCs w:val="20"/>
          <w:lang w:val="pl-PL"/>
        </w:rPr>
        <w:t>słów</w:t>
      </w:r>
      <w:r w:rsidR="00BA5B2B" w:rsidRPr="00217DF0">
        <w:rPr>
          <w:rFonts w:ascii="Times" w:hAnsi="Times"/>
          <w:color w:val="44546A" w:themeColor="text2"/>
          <w:sz w:val="20"/>
          <w:szCs w:val="20"/>
          <w:lang w:val="pl-PL"/>
        </w:rPr>
        <w:t xml:space="preserve">) </w:t>
      </w:r>
      <w:r w:rsidRPr="00217DF0">
        <w:rPr>
          <w:rFonts w:ascii="Times" w:hAnsi="Times"/>
          <w:color w:val="000000" w:themeColor="text1"/>
          <w:sz w:val="20"/>
          <w:szCs w:val="20"/>
          <w:lang w:val="pl-PL"/>
        </w:rPr>
        <w:t>autor</w:t>
      </w:r>
      <w:r w:rsidR="00BA5B2B" w:rsidRPr="00217DF0">
        <w:rPr>
          <w:rFonts w:ascii="Times" w:hAnsi="Times"/>
          <w:color w:val="000000" w:themeColor="text1"/>
          <w:sz w:val="20"/>
          <w:szCs w:val="20"/>
          <w:lang w:val="pl-PL"/>
        </w:rPr>
        <w:t xml:space="preserve">; </w:t>
      </w:r>
      <w:r w:rsidRPr="00217DF0">
        <w:rPr>
          <w:rFonts w:ascii="Times" w:hAnsi="Times"/>
          <w:color w:val="000000" w:themeColor="text1"/>
          <w:sz w:val="20"/>
          <w:szCs w:val="20"/>
          <w:lang w:val="pl-PL"/>
        </w:rPr>
        <w:t>powinien</w:t>
      </w:r>
      <w:r w:rsidR="00BA5B2B" w:rsidRPr="00217DF0">
        <w:rPr>
          <w:rFonts w:ascii="Times" w:hAnsi="Times"/>
          <w:color w:val="000000" w:themeColor="text1"/>
          <w:sz w:val="20"/>
          <w:szCs w:val="20"/>
          <w:lang w:val="pl-PL"/>
        </w:rPr>
        <w:t xml:space="preserve">; </w:t>
      </w:r>
      <w:r w:rsidRPr="00217DF0">
        <w:rPr>
          <w:rFonts w:ascii="Times" w:hAnsi="Times"/>
          <w:color w:val="000000" w:themeColor="text1"/>
          <w:sz w:val="20"/>
          <w:szCs w:val="20"/>
          <w:lang w:val="pl-PL"/>
        </w:rPr>
        <w:t>podać</w:t>
      </w:r>
      <w:r w:rsidR="00BA5B2B" w:rsidRPr="00217DF0">
        <w:rPr>
          <w:rFonts w:ascii="Times" w:hAnsi="Times"/>
          <w:color w:val="000000" w:themeColor="text1"/>
          <w:sz w:val="20"/>
          <w:szCs w:val="20"/>
          <w:lang w:val="pl-PL"/>
        </w:rPr>
        <w:t xml:space="preserve">; </w:t>
      </w:r>
      <w:r w:rsidRPr="00217DF0">
        <w:rPr>
          <w:rFonts w:ascii="Times" w:hAnsi="Times"/>
          <w:color w:val="000000" w:themeColor="text1"/>
          <w:sz w:val="20"/>
          <w:szCs w:val="20"/>
          <w:lang w:val="pl-PL"/>
        </w:rPr>
        <w:t>do trzech</w:t>
      </w:r>
      <w:r w:rsidR="00BA5B2B" w:rsidRPr="00217DF0">
        <w:rPr>
          <w:rFonts w:ascii="Times" w:hAnsi="Times"/>
          <w:color w:val="000000" w:themeColor="text1"/>
          <w:sz w:val="20"/>
          <w:szCs w:val="20"/>
          <w:lang w:val="pl-PL"/>
        </w:rPr>
        <w:t xml:space="preserve">; </w:t>
      </w:r>
      <w:r>
        <w:rPr>
          <w:rFonts w:ascii="Times" w:hAnsi="Times"/>
          <w:color w:val="000000" w:themeColor="text1"/>
          <w:sz w:val="20"/>
          <w:szCs w:val="20"/>
          <w:lang w:val="pl-PL"/>
        </w:rPr>
        <w:t>do</w:t>
      </w:r>
      <w:r w:rsidR="00BA5B2B" w:rsidRPr="00217DF0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Times" w:hAnsi="Times"/>
          <w:color w:val="000000" w:themeColor="text1"/>
          <w:sz w:val="20"/>
          <w:szCs w:val="20"/>
          <w:lang w:val="pl-PL"/>
        </w:rPr>
        <w:t>sześciu</w:t>
      </w:r>
      <w:r w:rsidR="00BA5B2B" w:rsidRPr="00217DF0">
        <w:rPr>
          <w:rFonts w:ascii="Times" w:hAnsi="Times"/>
          <w:color w:val="000000" w:themeColor="text1"/>
          <w:sz w:val="20"/>
          <w:szCs w:val="20"/>
          <w:lang w:val="pl-PL"/>
        </w:rPr>
        <w:t xml:space="preserve">; </w:t>
      </w:r>
      <w:r>
        <w:rPr>
          <w:rFonts w:ascii="Times" w:hAnsi="Times"/>
          <w:color w:val="000000" w:themeColor="text1"/>
          <w:sz w:val="20"/>
          <w:szCs w:val="20"/>
          <w:lang w:val="pl-PL"/>
        </w:rPr>
        <w:t>słów kluczowych</w:t>
      </w:r>
    </w:p>
    <w:p w14:paraId="250CD4EB" w14:textId="77777777" w:rsidR="00E503DF" w:rsidRDefault="00E503DF" w:rsidP="002D65F7">
      <w:pPr>
        <w:spacing w:line="240" w:lineRule="auto"/>
        <w:ind w:left="708" w:firstLine="708"/>
        <w:jc w:val="center"/>
        <w:rPr>
          <w:rFonts w:ascii="Times" w:hAnsi="Times"/>
          <w:color w:val="000000" w:themeColor="text1"/>
          <w:sz w:val="24"/>
          <w:szCs w:val="24"/>
          <w:lang w:val="pl-PL"/>
        </w:rPr>
      </w:pPr>
    </w:p>
    <w:p w14:paraId="7404623E" w14:textId="3343CDD6" w:rsidR="00BA5B2B" w:rsidRPr="001656ED" w:rsidRDefault="00BA5B2B" w:rsidP="001320D6">
      <w:pPr>
        <w:spacing w:line="240" w:lineRule="auto"/>
        <w:ind w:left="2832" w:firstLine="708"/>
        <w:rPr>
          <w:rFonts w:ascii="Times" w:hAnsi="Times"/>
          <w:color w:val="44546A" w:themeColor="text2"/>
          <w:sz w:val="24"/>
          <w:szCs w:val="24"/>
          <w:lang w:val="pl-PL"/>
        </w:rPr>
      </w:pPr>
      <w:r w:rsidRPr="001656ED">
        <w:rPr>
          <w:rFonts w:ascii="Times" w:hAnsi="Times"/>
          <w:color w:val="44546A" w:themeColor="text2"/>
          <w:sz w:val="24"/>
          <w:szCs w:val="24"/>
          <w:lang w:val="pl-PL"/>
        </w:rPr>
        <w:t xml:space="preserve">(Times New Roman, 12 </w:t>
      </w:r>
      <w:proofErr w:type="spellStart"/>
      <w:r w:rsidRPr="001656ED">
        <w:rPr>
          <w:rFonts w:ascii="Times" w:hAnsi="Times"/>
          <w:color w:val="44546A" w:themeColor="text2"/>
          <w:sz w:val="24"/>
          <w:szCs w:val="24"/>
          <w:lang w:val="pl-PL"/>
        </w:rPr>
        <w:t>pt</w:t>
      </w:r>
      <w:proofErr w:type="spellEnd"/>
      <w:r w:rsidRPr="001656ED">
        <w:rPr>
          <w:rFonts w:ascii="Times" w:hAnsi="Times"/>
          <w:color w:val="44546A" w:themeColor="text2"/>
          <w:sz w:val="24"/>
          <w:szCs w:val="24"/>
          <w:lang w:val="pl-PL"/>
        </w:rPr>
        <w:t>)</w:t>
      </w:r>
    </w:p>
    <w:p w14:paraId="404D431E" w14:textId="5B5B0B41" w:rsidR="00712492" w:rsidRPr="00CF6F35" w:rsidRDefault="00CF6F35" w:rsidP="00CF6F35">
      <w:pPr>
        <w:spacing w:line="360" w:lineRule="auto"/>
        <w:ind w:firstLine="708"/>
        <w:jc w:val="both"/>
        <w:rPr>
          <w:rFonts w:ascii="Times" w:hAnsi="Times"/>
          <w:color w:val="000000" w:themeColor="text1"/>
          <w:sz w:val="24"/>
          <w:szCs w:val="24"/>
          <w:lang w:val="pl-PL"/>
        </w:rPr>
      </w:pPr>
      <w:r w:rsidRPr="00CF6F35">
        <w:rPr>
          <w:rFonts w:ascii="Times" w:hAnsi="Times"/>
          <w:color w:val="000000" w:themeColor="text1"/>
          <w:sz w:val="24"/>
          <w:szCs w:val="24"/>
          <w:lang w:val="pl-PL"/>
        </w:rPr>
        <w:t>Glosa stanowi naukowy komentarz do wybranego orzeczenia sądowego.</w:t>
      </w:r>
      <w:r>
        <w:rPr>
          <w:rFonts w:ascii="Times" w:hAnsi="Times"/>
          <w:color w:val="000000" w:themeColor="text1"/>
          <w:sz w:val="24"/>
          <w:szCs w:val="24"/>
          <w:lang w:val="pl-PL"/>
        </w:rPr>
        <w:t xml:space="preserve"> </w:t>
      </w:r>
      <w:r w:rsidRPr="00CF6F35">
        <w:rPr>
          <w:rFonts w:ascii="Times" w:hAnsi="Times"/>
          <w:color w:val="000000" w:themeColor="text1"/>
          <w:sz w:val="24"/>
          <w:szCs w:val="24"/>
          <w:lang w:val="pl-PL"/>
        </w:rPr>
        <w:t>Przedmiotem glosy powinny być, w szczególności orzeczenia dotykające problemów kontrowersyjnych, przełomowych, istotnych dla kształtowania praktyki orzeczniczej.</w:t>
      </w:r>
      <w:r>
        <w:rPr>
          <w:rFonts w:ascii="Times" w:hAnsi="Times"/>
          <w:color w:val="000000" w:themeColor="text1"/>
          <w:sz w:val="24"/>
          <w:szCs w:val="24"/>
          <w:lang w:val="pl-PL"/>
        </w:rPr>
        <w:t xml:space="preserve"> </w:t>
      </w:r>
      <w:r w:rsidRPr="00CF6F35">
        <w:rPr>
          <w:rFonts w:ascii="Times" w:hAnsi="Times"/>
          <w:color w:val="000000" w:themeColor="text1"/>
          <w:sz w:val="24"/>
          <w:szCs w:val="24"/>
          <w:lang w:val="pl-PL"/>
        </w:rPr>
        <w:t>Glosa powinna zawierać:</w:t>
      </w:r>
      <w:r>
        <w:rPr>
          <w:rFonts w:ascii="Times" w:hAnsi="Times"/>
          <w:color w:val="000000" w:themeColor="text1"/>
          <w:sz w:val="24"/>
          <w:szCs w:val="24"/>
          <w:lang w:val="pl-PL"/>
        </w:rPr>
        <w:t xml:space="preserve"> </w:t>
      </w:r>
      <w:r w:rsidRPr="00CF6F35">
        <w:rPr>
          <w:rFonts w:ascii="Times" w:hAnsi="Times"/>
          <w:color w:val="000000" w:themeColor="text1"/>
          <w:sz w:val="24"/>
          <w:szCs w:val="24"/>
          <w:lang w:val="pl-PL"/>
        </w:rPr>
        <w:t xml:space="preserve">1) krótką charakterystykę problemu prawnego poruszonego w </w:t>
      </w:r>
      <w:proofErr w:type="spellStart"/>
      <w:r w:rsidRPr="00CF6F35">
        <w:rPr>
          <w:rFonts w:ascii="Times" w:hAnsi="Times"/>
          <w:color w:val="000000" w:themeColor="text1"/>
          <w:sz w:val="24"/>
          <w:szCs w:val="24"/>
          <w:lang w:val="pl-PL"/>
        </w:rPr>
        <w:t>glosowanym</w:t>
      </w:r>
      <w:proofErr w:type="spellEnd"/>
      <w:r w:rsidRPr="00CF6F35">
        <w:rPr>
          <w:rFonts w:ascii="Times" w:hAnsi="Times"/>
          <w:color w:val="000000" w:themeColor="text1"/>
          <w:sz w:val="24"/>
          <w:szCs w:val="24"/>
          <w:lang w:val="pl-PL"/>
        </w:rPr>
        <w:t xml:space="preserve"> orzeczeniu i jego znaczenia praktycznego oraz teoretycznego;</w:t>
      </w:r>
      <w:r>
        <w:rPr>
          <w:rFonts w:ascii="Times" w:hAnsi="Times"/>
          <w:color w:val="000000" w:themeColor="text1"/>
          <w:sz w:val="24"/>
          <w:szCs w:val="24"/>
          <w:lang w:val="pl-PL"/>
        </w:rPr>
        <w:t xml:space="preserve"> </w:t>
      </w:r>
      <w:r w:rsidRPr="00CF6F35">
        <w:rPr>
          <w:rFonts w:ascii="Times" w:hAnsi="Times"/>
          <w:color w:val="000000" w:themeColor="text1"/>
          <w:sz w:val="24"/>
          <w:szCs w:val="24"/>
          <w:lang w:val="pl-PL"/>
        </w:rPr>
        <w:t>2) krytyczną analizę rozumowania orzekającego sądu;</w:t>
      </w:r>
      <w:r>
        <w:rPr>
          <w:rFonts w:ascii="Times" w:hAnsi="Times"/>
          <w:color w:val="000000" w:themeColor="text1"/>
          <w:sz w:val="24"/>
          <w:szCs w:val="24"/>
          <w:lang w:val="pl-PL"/>
        </w:rPr>
        <w:t xml:space="preserve"> </w:t>
      </w:r>
      <w:r w:rsidRPr="00CF6F35">
        <w:rPr>
          <w:rFonts w:ascii="Times" w:hAnsi="Times"/>
          <w:color w:val="000000" w:themeColor="text1"/>
          <w:sz w:val="24"/>
          <w:szCs w:val="24"/>
          <w:lang w:val="pl-PL"/>
        </w:rPr>
        <w:t>3) konkluzję o znaczeniu teoretycznym i/lub praktycznym</w:t>
      </w:r>
      <w:r w:rsidR="00712492">
        <w:rPr>
          <w:rStyle w:val="Odwoanieprzypisudolnego"/>
          <w:rFonts w:ascii="Times" w:hAnsi="Times"/>
          <w:color w:val="000000" w:themeColor="text1"/>
          <w:sz w:val="24"/>
          <w:szCs w:val="24"/>
        </w:rPr>
        <w:footnoteReference w:id="3"/>
      </w:r>
      <w:r w:rsidR="00712492" w:rsidRPr="00801EE2">
        <w:rPr>
          <w:rFonts w:ascii="Times" w:hAnsi="Times"/>
          <w:color w:val="000000" w:themeColor="text1"/>
          <w:sz w:val="24"/>
          <w:szCs w:val="24"/>
          <w:lang w:val="pl-PL"/>
        </w:rPr>
        <w:t>.</w:t>
      </w:r>
      <w:r>
        <w:rPr>
          <w:rFonts w:ascii="Times" w:hAnsi="Times"/>
          <w:color w:val="000000" w:themeColor="text1"/>
          <w:sz w:val="24"/>
          <w:szCs w:val="24"/>
          <w:lang w:val="pl-PL"/>
        </w:rPr>
        <w:t xml:space="preserve"> </w:t>
      </w:r>
      <w:r w:rsidRPr="00CF6F35">
        <w:rPr>
          <w:rFonts w:ascii="Times" w:hAnsi="Times"/>
          <w:color w:val="000000" w:themeColor="text1"/>
          <w:sz w:val="24"/>
          <w:szCs w:val="24"/>
          <w:lang w:val="pl-PL"/>
        </w:rPr>
        <w:t>Glosa może zawierać skrócony opis przebiegu postępowania</w:t>
      </w:r>
      <w:r w:rsidR="00712492">
        <w:rPr>
          <w:rStyle w:val="Odwoanieprzypisudolnego"/>
          <w:rFonts w:ascii="Times" w:hAnsi="Times"/>
          <w:color w:val="000000" w:themeColor="text1"/>
          <w:sz w:val="24"/>
          <w:szCs w:val="24"/>
        </w:rPr>
        <w:footnoteReference w:id="4"/>
      </w:r>
      <w:r w:rsidRPr="00CF6F35">
        <w:rPr>
          <w:rFonts w:ascii="Times" w:hAnsi="Times"/>
          <w:color w:val="000000" w:themeColor="text1"/>
          <w:sz w:val="24"/>
          <w:szCs w:val="24"/>
          <w:lang w:val="pl-PL"/>
        </w:rPr>
        <w:t>, jednak tylko wówczas, gdy jest to niezbędne dla ukazania zagadnienia prawnego</w:t>
      </w:r>
      <w:r w:rsidR="00712492">
        <w:rPr>
          <w:rStyle w:val="Odwoanieprzypisudolnego"/>
          <w:rFonts w:ascii="Times" w:hAnsi="Times"/>
          <w:color w:val="000000" w:themeColor="text1"/>
          <w:sz w:val="24"/>
          <w:szCs w:val="24"/>
        </w:rPr>
        <w:footnoteReference w:id="5"/>
      </w:r>
      <w:r w:rsidRPr="00CF6F35">
        <w:rPr>
          <w:rFonts w:ascii="Times" w:hAnsi="Times"/>
          <w:color w:val="000000" w:themeColor="text1"/>
          <w:sz w:val="24"/>
          <w:szCs w:val="24"/>
          <w:lang w:val="pl-PL"/>
        </w:rPr>
        <w:t>.</w:t>
      </w:r>
      <w:r>
        <w:rPr>
          <w:rFonts w:ascii="Times" w:hAnsi="Times"/>
          <w:color w:val="000000" w:themeColor="text1"/>
          <w:sz w:val="24"/>
          <w:szCs w:val="24"/>
          <w:lang w:val="pl-PL"/>
        </w:rPr>
        <w:t xml:space="preserve"> </w:t>
      </w:r>
    </w:p>
    <w:p w14:paraId="375445C0" w14:textId="77777777" w:rsidR="000D4A97" w:rsidRPr="00B73839" w:rsidRDefault="000D4A97" w:rsidP="00B605E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val="pl-PL"/>
        </w:rPr>
      </w:pPr>
    </w:p>
    <w:p w14:paraId="09EE3D15" w14:textId="19BED6F1" w:rsidR="00712492" w:rsidRPr="00A567D8" w:rsidRDefault="000D4A97" w:rsidP="0071249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BIBLIOGRAFIA</w:t>
      </w:r>
      <w:r w:rsidR="00712492">
        <w:rPr>
          <w:rFonts w:ascii="Times New Roman" w:eastAsia="Times New Roman" w:hAnsi="Times New Roman"/>
          <w:sz w:val="20"/>
          <w:szCs w:val="20"/>
        </w:rPr>
        <w:t xml:space="preserve"> </w:t>
      </w:r>
      <w:r w:rsidR="00712492" w:rsidRPr="00E62C3E">
        <w:rPr>
          <w:rFonts w:ascii="Times New Roman" w:eastAsia="Times New Roman" w:hAnsi="Times New Roman"/>
          <w:color w:val="44546A" w:themeColor="text2"/>
          <w:sz w:val="20"/>
          <w:szCs w:val="20"/>
        </w:rPr>
        <w:t xml:space="preserve">(Times New Roman, 10 </w:t>
      </w:r>
      <w:proofErr w:type="spellStart"/>
      <w:r w:rsidR="00712492" w:rsidRPr="00E62C3E">
        <w:rPr>
          <w:rFonts w:ascii="Times New Roman" w:eastAsia="Times New Roman" w:hAnsi="Times New Roman"/>
          <w:color w:val="44546A" w:themeColor="text2"/>
          <w:sz w:val="20"/>
          <w:szCs w:val="20"/>
        </w:rPr>
        <w:t>pt</w:t>
      </w:r>
      <w:proofErr w:type="spellEnd"/>
      <w:r w:rsidR="00712492" w:rsidRPr="00E62C3E">
        <w:rPr>
          <w:rFonts w:ascii="Times New Roman" w:eastAsia="Times New Roman" w:hAnsi="Times New Roman"/>
          <w:color w:val="44546A" w:themeColor="text2"/>
          <w:sz w:val="20"/>
          <w:szCs w:val="20"/>
        </w:rPr>
        <w:t>)</w:t>
      </w:r>
    </w:p>
    <w:p w14:paraId="2CFA5C9E" w14:textId="77777777" w:rsidR="00662B4B" w:rsidRDefault="00662B4B" w:rsidP="002D65F7">
      <w:pPr>
        <w:spacing w:after="0" w:line="240" w:lineRule="auto"/>
        <w:contextualSpacing/>
        <w:jc w:val="both"/>
        <w:rPr>
          <w:rFonts w:ascii="Times New Roman" w:hAnsi="Times New Roman"/>
          <w:smallCaps/>
          <w:sz w:val="20"/>
          <w:szCs w:val="20"/>
        </w:rPr>
      </w:pPr>
    </w:p>
    <w:p w14:paraId="77C0EA5D" w14:textId="08046DF1" w:rsidR="002D65F7" w:rsidRPr="00A567D8" w:rsidRDefault="002D65F7" w:rsidP="002D65F7">
      <w:pPr>
        <w:spacing w:after="0" w:line="240" w:lineRule="auto"/>
        <w:contextualSpacing/>
        <w:jc w:val="both"/>
        <w:rPr>
          <w:rFonts w:ascii="Times New Roman" w:hAnsi="Times New Roman"/>
          <w:smallCaps/>
          <w:sz w:val="20"/>
          <w:szCs w:val="20"/>
        </w:rPr>
      </w:pPr>
      <w:proofErr w:type="spellStart"/>
      <w:r w:rsidRPr="00A567D8">
        <w:rPr>
          <w:rFonts w:ascii="Times New Roman" w:hAnsi="Times New Roman"/>
          <w:smallCaps/>
          <w:sz w:val="20"/>
          <w:szCs w:val="20"/>
        </w:rPr>
        <w:t>Lite</w:t>
      </w:r>
      <w:r>
        <w:rPr>
          <w:rFonts w:ascii="Times New Roman" w:hAnsi="Times New Roman"/>
          <w:smallCaps/>
          <w:sz w:val="20"/>
          <w:szCs w:val="20"/>
        </w:rPr>
        <w:t>ratura</w:t>
      </w:r>
      <w:proofErr w:type="spellEnd"/>
      <w:r>
        <w:rPr>
          <w:rFonts w:ascii="Times New Roman" w:hAnsi="Times New Roman"/>
          <w:smallCaps/>
          <w:sz w:val="20"/>
          <w:szCs w:val="20"/>
        </w:rPr>
        <w:t xml:space="preserve">: </w:t>
      </w:r>
    </w:p>
    <w:p w14:paraId="3EEBF788" w14:textId="77777777" w:rsidR="002D65F7" w:rsidRPr="00A567D8" w:rsidRDefault="002D65F7" w:rsidP="002D65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7D83FF15" w14:textId="77777777" w:rsidR="002D65F7" w:rsidRPr="00A567D8" w:rsidRDefault="002D65F7" w:rsidP="002D65F7">
      <w:pPr>
        <w:spacing w:line="240" w:lineRule="auto"/>
        <w:contextualSpacing/>
        <w:jc w:val="both"/>
        <w:rPr>
          <w:rFonts w:ascii="Times New Roman" w:hAnsi="Times New Roman"/>
          <w:bCs/>
          <w:iCs/>
          <w:sz w:val="20"/>
          <w:szCs w:val="20"/>
          <w:lang w:val="en-US"/>
        </w:rPr>
      </w:pPr>
      <w:proofErr w:type="spellStart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Ausems</w:t>
      </w:r>
      <w:proofErr w:type="spellEnd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 E., </w:t>
      </w:r>
      <w:r w:rsidRPr="00A567D8">
        <w:rPr>
          <w:rFonts w:ascii="Times New Roman" w:hAnsi="Times New Roman"/>
          <w:bCs/>
          <w:i/>
          <w:iCs/>
          <w:sz w:val="20"/>
          <w:szCs w:val="20"/>
          <w:lang w:val="en-US"/>
        </w:rPr>
        <w:t>The Council of Europe and animal welfare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, [in:] </w:t>
      </w:r>
      <w:r w:rsidRPr="00A567D8">
        <w:rPr>
          <w:rFonts w:ascii="Times New Roman" w:hAnsi="Times New Roman"/>
          <w:bCs/>
          <w:i/>
          <w:iCs/>
          <w:sz w:val="20"/>
          <w:szCs w:val="20"/>
          <w:lang w:val="en-US"/>
        </w:rPr>
        <w:t>Ethical Eye: Animal Welfare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, Strasbourg 2006.</w:t>
      </w:r>
    </w:p>
    <w:p w14:paraId="4BDDD14C" w14:textId="77777777" w:rsidR="002D65F7" w:rsidRPr="00A567D8" w:rsidRDefault="002D65F7" w:rsidP="002D65F7">
      <w:pPr>
        <w:spacing w:line="240" w:lineRule="auto"/>
        <w:contextualSpacing/>
        <w:jc w:val="both"/>
        <w:rPr>
          <w:rFonts w:ascii="Times New Roman" w:hAnsi="Times New Roman"/>
          <w:bCs/>
          <w:iCs/>
          <w:sz w:val="20"/>
          <w:szCs w:val="20"/>
          <w:lang w:val="en-US"/>
        </w:rPr>
      </w:pPr>
    </w:p>
    <w:p w14:paraId="17B33671" w14:textId="77777777" w:rsidR="002D65F7" w:rsidRDefault="002D65F7" w:rsidP="002D65F7">
      <w:pPr>
        <w:spacing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en-US"/>
        </w:rPr>
      </w:pPr>
      <w:proofErr w:type="spellStart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Babińska</w:t>
      </w:r>
      <w:proofErr w:type="spellEnd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 I.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proofErr w:type="spellStart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Kuczewska</w:t>
      </w:r>
      <w:proofErr w:type="spellEnd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 E.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proofErr w:type="spellStart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Konkie</w:t>
      </w:r>
      <w:proofErr w:type="spellEnd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 J.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proofErr w:type="spellStart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Felsmann</w:t>
      </w:r>
      <w:proofErr w:type="spellEnd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 M.Z.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proofErr w:type="spellStart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Szarek</w:t>
      </w:r>
      <w:proofErr w:type="spellEnd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 J.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proofErr w:type="spellStart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Popławski</w:t>
      </w:r>
      <w:proofErr w:type="spellEnd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 K.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proofErr w:type="spellStart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Snarska</w:t>
      </w:r>
      <w:proofErr w:type="spellEnd"/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 A.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A567D8">
        <w:rPr>
          <w:rFonts w:ascii="Times New Roman" w:hAnsi="Times New Roman"/>
          <w:bCs/>
          <w:i/>
          <w:sz w:val="20"/>
          <w:szCs w:val="20"/>
          <w:lang w:val="en-US"/>
        </w:rPr>
        <w:t>Selected aspects of humane animal protection in Polish law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>, “Polish Journal of Natural Sciences” 2017, vol. 32(2).</w:t>
      </w:r>
    </w:p>
    <w:p w14:paraId="513C3AC2" w14:textId="77777777" w:rsidR="002D65F7" w:rsidRDefault="002D65F7" w:rsidP="002D65F7">
      <w:pPr>
        <w:spacing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en-US"/>
        </w:rPr>
      </w:pPr>
    </w:p>
    <w:p w14:paraId="0EA6F6AD" w14:textId="445FF192" w:rsidR="002D65F7" w:rsidRPr="00C448FF" w:rsidRDefault="002D65F7" w:rsidP="002D65F7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proofErr w:type="spellStart"/>
      <w:r w:rsidRPr="00A616AC">
        <w:rPr>
          <w:rFonts w:ascii="Times New Roman" w:hAnsi="Times New Roman"/>
          <w:sz w:val="20"/>
          <w:szCs w:val="20"/>
        </w:rPr>
        <w:t>Gárdos-Orosz</w:t>
      </w:r>
      <w:proofErr w:type="spellEnd"/>
      <w:r w:rsidRPr="00A616AC">
        <w:rPr>
          <w:rFonts w:ascii="Times New Roman" w:hAnsi="Times New Roman"/>
          <w:sz w:val="20"/>
          <w:szCs w:val="20"/>
        </w:rPr>
        <w:t xml:space="preserve"> F., </w:t>
      </w:r>
      <w:r w:rsidRPr="00A616AC">
        <w:rPr>
          <w:rFonts w:ascii="Times New Roman" w:hAnsi="Times New Roman"/>
          <w:i/>
          <w:sz w:val="20"/>
          <w:szCs w:val="20"/>
        </w:rPr>
        <w:t>COVID-</w:t>
      </w:r>
      <w:proofErr w:type="gramStart"/>
      <w:r w:rsidRPr="00A616AC">
        <w:rPr>
          <w:rFonts w:ascii="Times New Roman" w:hAnsi="Times New Roman"/>
          <w:i/>
          <w:sz w:val="20"/>
          <w:szCs w:val="20"/>
        </w:rPr>
        <w:t>19</w:t>
      </w:r>
      <w:proofErr w:type="gramEnd"/>
      <w:r w:rsidRPr="00A616AC">
        <w:rPr>
          <w:rFonts w:ascii="Times New Roman" w:hAnsi="Times New Roman"/>
          <w:i/>
          <w:sz w:val="20"/>
          <w:szCs w:val="20"/>
        </w:rPr>
        <w:t xml:space="preserve"> and the Responsiveness of the Hungarian Constitutional System</w:t>
      </w:r>
      <w:r w:rsidRPr="00A616AC">
        <w:rPr>
          <w:rFonts w:ascii="Times New Roman" w:hAnsi="Times New Roman"/>
          <w:sz w:val="20"/>
          <w:szCs w:val="20"/>
        </w:rPr>
        <w:t>, [</w:t>
      </w:r>
      <w:r w:rsidR="00E04DD0">
        <w:rPr>
          <w:rFonts w:ascii="Times New Roman" w:hAnsi="Times New Roman"/>
          <w:sz w:val="20"/>
          <w:szCs w:val="20"/>
        </w:rPr>
        <w:t>w</w:t>
      </w:r>
      <w:r w:rsidRPr="00A616AC">
        <w:rPr>
          <w:rFonts w:ascii="Times New Roman" w:hAnsi="Times New Roman"/>
          <w:sz w:val="20"/>
          <w:szCs w:val="20"/>
        </w:rPr>
        <w:t xml:space="preserve">:] </w:t>
      </w:r>
      <w:r w:rsidRPr="00A616AC">
        <w:rPr>
          <w:rFonts w:ascii="Times New Roman" w:hAnsi="Times New Roman"/>
          <w:i/>
          <w:iCs/>
          <w:sz w:val="20"/>
          <w:szCs w:val="20"/>
        </w:rPr>
        <w:t>COVID-19 and Constitutional Law</w:t>
      </w:r>
      <w:r w:rsidRPr="00A616AC">
        <w:rPr>
          <w:rFonts w:ascii="Times New Roman" w:hAnsi="Times New Roman"/>
          <w:iCs/>
          <w:sz w:val="20"/>
          <w:szCs w:val="20"/>
        </w:rPr>
        <w:t xml:space="preserve">, ed. </w:t>
      </w:r>
      <w:r w:rsidRPr="00C448FF">
        <w:rPr>
          <w:rFonts w:ascii="Times New Roman" w:hAnsi="Times New Roman"/>
          <w:sz w:val="20"/>
          <w:szCs w:val="20"/>
          <w:lang w:val="pl-PL"/>
        </w:rPr>
        <w:t xml:space="preserve">J.M. </w:t>
      </w:r>
      <w:proofErr w:type="spellStart"/>
      <w:r w:rsidRPr="00C448FF">
        <w:rPr>
          <w:rFonts w:ascii="Times New Roman" w:hAnsi="Times New Roman"/>
          <w:sz w:val="20"/>
          <w:szCs w:val="20"/>
          <w:lang w:val="pl-PL"/>
        </w:rPr>
        <w:t>Serna</w:t>
      </w:r>
      <w:proofErr w:type="spellEnd"/>
      <w:r w:rsidRPr="00C448FF">
        <w:rPr>
          <w:rFonts w:ascii="Times New Roman" w:hAnsi="Times New Roman"/>
          <w:sz w:val="20"/>
          <w:szCs w:val="20"/>
          <w:lang w:val="pl-PL"/>
        </w:rPr>
        <w:t xml:space="preserve"> de la </w:t>
      </w:r>
      <w:proofErr w:type="spellStart"/>
      <w:r w:rsidRPr="00C448FF">
        <w:rPr>
          <w:rFonts w:ascii="Times New Roman" w:hAnsi="Times New Roman"/>
          <w:sz w:val="20"/>
          <w:szCs w:val="20"/>
          <w:lang w:val="pl-PL"/>
        </w:rPr>
        <w:t>Garza</w:t>
      </w:r>
      <w:proofErr w:type="spellEnd"/>
      <w:r w:rsidRPr="00C448FF">
        <w:rPr>
          <w:rFonts w:ascii="Times New Roman" w:hAnsi="Times New Roman"/>
          <w:sz w:val="20"/>
          <w:szCs w:val="20"/>
          <w:lang w:val="pl-PL"/>
        </w:rPr>
        <w:t xml:space="preserve">, Ciudad de </w:t>
      </w:r>
      <w:proofErr w:type="spellStart"/>
      <w:r w:rsidRPr="00C448FF">
        <w:rPr>
          <w:rFonts w:ascii="Times New Roman" w:hAnsi="Times New Roman"/>
          <w:sz w:val="20"/>
          <w:szCs w:val="20"/>
          <w:lang w:val="pl-PL"/>
        </w:rPr>
        <w:t>México</w:t>
      </w:r>
      <w:proofErr w:type="spellEnd"/>
      <w:r w:rsidRPr="00C448FF">
        <w:rPr>
          <w:rFonts w:ascii="Times New Roman" w:hAnsi="Times New Roman"/>
          <w:sz w:val="20"/>
          <w:szCs w:val="20"/>
          <w:lang w:val="pl-PL"/>
        </w:rPr>
        <w:t xml:space="preserve"> 2020.</w:t>
      </w:r>
    </w:p>
    <w:p w14:paraId="3652084A" w14:textId="77777777" w:rsidR="002D65F7" w:rsidRDefault="002D65F7" w:rsidP="002D65F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0414D6A1" w14:textId="77777777" w:rsidR="002D65F7" w:rsidRPr="00A567D8" w:rsidRDefault="002D65F7" w:rsidP="002D65F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pl-PL"/>
        </w:rPr>
      </w:pPr>
      <w:r w:rsidRPr="00A567D8">
        <w:rPr>
          <w:rFonts w:ascii="Times New Roman" w:hAnsi="Times New Roman"/>
          <w:sz w:val="20"/>
          <w:szCs w:val="20"/>
          <w:lang w:val="pl-PL"/>
        </w:rPr>
        <w:t xml:space="preserve">Jachnik E., </w:t>
      </w:r>
      <w:r w:rsidRPr="00A567D8">
        <w:rPr>
          <w:rFonts w:ascii="Times New Roman" w:hAnsi="Times New Roman"/>
          <w:i/>
          <w:sz w:val="20"/>
          <w:szCs w:val="20"/>
          <w:lang w:val="pl-PL"/>
        </w:rPr>
        <w:t>Zasada dobrostanu zwierząt we Wspólnej Polityce Rolnej Unii Europejskiej</w:t>
      </w:r>
      <w:r w:rsidRPr="00A567D8">
        <w:rPr>
          <w:rFonts w:ascii="Times New Roman" w:hAnsi="Times New Roman"/>
          <w:sz w:val="20"/>
          <w:szCs w:val="20"/>
          <w:lang w:val="pl-PL"/>
        </w:rPr>
        <w:t xml:space="preserve">, </w:t>
      </w:r>
      <w:r>
        <w:rPr>
          <w:rFonts w:ascii="Times New Roman" w:hAnsi="Times New Roman"/>
          <w:sz w:val="20"/>
          <w:szCs w:val="20"/>
          <w:lang w:val="pl-PL"/>
        </w:rPr>
        <w:t>„</w:t>
      </w:r>
      <w:r w:rsidRPr="00A567D8">
        <w:rPr>
          <w:rFonts w:ascii="Times New Roman" w:hAnsi="Times New Roman"/>
          <w:sz w:val="20"/>
          <w:szCs w:val="20"/>
          <w:lang w:val="pl-PL"/>
        </w:rPr>
        <w:t xml:space="preserve">Studia </w:t>
      </w:r>
      <w:proofErr w:type="spellStart"/>
      <w:r w:rsidRPr="00A567D8">
        <w:rPr>
          <w:rFonts w:ascii="Times New Roman" w:hAnsi="Times New Roman"/>
          <w:sz w:val="20"/>
          <w:szCs w:val="20"/>
          <w:lang w:val="pl-PL"/>
        </w:rPr>
        <w:t>Iuridica</w:t>
      </w:r>
      <w:proofErr w:type="spellEnd"/>
      <w:r w:rsidRPr="00A567D8">
        <w:rPr>
          <w:rFonts w:ascii="Times New Roman" w:hAnsi="Times New Roman"/>
          <w:sz w:val="20"/>
          <w:szCs w:val="20"/>
          <w:lang w:val="pl-PL"/>
        </w:rPr>
        <w:t xml:space="preserve"> </w:t>
      </w:r>
      <w:proofErr w:type="spellStart"/>
      <w:r w:rsidRPr="00A567D8">
        <w:rPr>
          <w:rFonts w:ascii="Times New Roman" w:hAnsi="Times New Roman"/>
          <w:sz w:val="20"/>
          <w:szCs w:val="20"/>
          <w:lang w:val="pl-PL"/>
        </w:rPr>
        <w:t>Lublinensia</w:t>
      </w:r>
      <w:proofErr w:type="spellEnd"/>
      <w:r w:rsidRPr="00A567D8">
        <w:rPr>
          <w:rFonts w:ascii="Times New Roman" w:hAnsi="Times New Roman"/>
          <w:sz w:val="20"/>
          <w:szCs w:val="20"/>
          <w:lang w:val="pl-PL"/>
        </w:rPr>
        <w:t xml:space="preserve">” 2017, vol. 26(1), </w:t>
      </w:r>
      <w:r w:rsidRPr="00A567D8">
        <w:rPr>
          <w:rFonts w:ascii="Times New Roman" w:hAnsi="Times New Roman"/>
          <w:b/>
          <w:sz w:val="20"/>
          <w:szCs w:val="20"/>
          <w:lang w:val="pl-PL"/>
        </w:rPr>
        <w:t xml:space="preserve">DOI: </w:t>
      </w:r>
      <w:r w:rsidR="00000000">
        <w:fldChar w:fldCharType="begin"/>
      </w:r>
      <w:r w:rsidR="00000000" w:rsidRPr="00D673CC">
        <w:rPr>
          <w:lang w:val="pl-PL"/>
        </w:rPr>
        <w:instrText>HYPERLINK "https://doi.org/10.17951/sil.2017.26.1.287" \t "_blank"</w:instrText>
      </w:r>
      <w:r w:rsidR="00000000">
        <w:fldChar w:fldCharType="separate"/>
      </w:r>
      <w:r w:rsidRPr="00A567D8">
        <w:rPr>
          <w:rFonts w:ascii="Times New Roman" w:hAnsi="Times New Roman"/>
          <w:b/>
          <w:sz w:val="20"/>
          <w:szCs w:val="20"/>
          <w:lang w:val="pl-PL"/>
        </w:rPr>
        <w:t>https://doi.org/10.17951/sil.2017.26.1.287</w:t>
      </w:r>
      <w:r w:rsidR="00000000">
        <w:rPr>
          <w:rFonts w:ascii="Times New Roman" w:hAnsi="Times New Roman"/>
          <w:b/>
          <w:sz w:val="20"/>
          <w:szCs w:val="20"/>
          <w:lang w:val="pl-PL"/>
        </w:rPr>
        <w:fldChar w:fldCharType="end"/>
      </w:r>
      <w:r w:rsidRPr="00A567D8">
        <w:rPr>
          <w:rFonts w:ascii="Times New Roman" w:hAnsi="Times New Roman"/>
          <w:sz w:val="20"/>
          <w:szCs w:val="20"/>
          <w:lang w:val="pl-PL"/>
        </w:rPr>
        <w:t>.</w:t>
      </w:r>
    </w:p>
    <w:p w14:paraId="2E7A8680" w14:textId="77777777" w:rsidR="002D65F7" w:rsidRPr="00C7707C" w:rsidRDefault="002D65F7" w:rsidP="002D65F7">
      <w:pPr>
        <w:spacing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pl-PL"/>
        </w:rPr>
      </w:pPr>
    </w:p>
    <w:p w14:paraId="2D86B631" w14:textId="77777777" w:rsidR="002D65F7" w:rsidRPr="00A616AC" w:rsidRDefault="002D65F7" w:rsidP="002D65F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16AC">
        <w:rPr>
          <w:rFonts w:ascii="Times New Roman" w:hAnsi="Times New Roman"/>
          <w:sz w:val="20"/>
          <w:szCs w:val="20"/>
          <w:lang w:val="hu-HU"/>
        </w:rPr>
        <w:t xml:space="preserve">Kostrubiec J., </w:t>
      </w:r>
      <w:r w:rsidRPr="00A616AC">
        <w:rPr>
          <w:rFonts w:ascii="Times New Roman" w:hAnsi="Times New Roman"/>
          <w:i/>
          <w:sz w:val="20"/>
          <w:szCs w:val="20"/>
        </w:rPr>
        <w:t>The Role of Public Order Regulations as Acts of Local Law in the Performance of Tasks in the Field of Public Security by Local Self-government in Poland</w:t>
      </w:r>
      <w:r w:rsidRPr="00A616AC">
        <w:rPr>
          <w:rFonts w:ascii="Times New Roman" w:hAnsi="Times New Roman"/>
          <w:sz w:val="20"/>
          <w:szCs w:val="20"/>
        </w:rPr>
        <w:t>, “</w:t>
      </w:r>
      <w:r w:rsidRPr="00A616AC">
        <w:rPr>
          <w:rFonts w:ascii="Times New Roman" w:hAnsi="Times New Roman"/>
          <w:iCs/>
          <w:sz w:val="20"/>
          <w:szCs w:val="20"/>
        </w:rPr>
        <w:t xml:space="preserve">Lex </w:t>
      </w:r>
      <w:proofErr w:type="spellStart"/>
      <w:r w:rsidRPr="00A616AC">
        <w:rPr>
          <w:rFonts w:ascii="Times New Roman" w:hAnsi="Times New Roman"/>
          <w:iCs/>
          <w:sz w:val="20"/>
          <w:szCs w:val="20"/>
        </w:rPr>
        <w:t>Localis</w:t>
      </w:r>
      <w:proofErr w:type="spellEnd"/>
      <w:r w:rsidRPr="00A616AC">
        <w:rPr>
          <w:rFonts w:ascii="Times New Roman" w:hAnsi="Times New Roman"/>
          <w:iCs/>
          <w:sz w:val="20"/>
          <w:szCs w:val="20"/>
        </w:rPr>
        <w:t xml:space="preserve"> – Journal of Local Self-government” </w:t>
      </w:r>
      <w:r w:rsidRPr="00A616AC">
        <w:rPr>
          <w:rFonts w:ascii="Times New Roman" w:hAnsi="Times New Roman"/>
          <w:sz w:val="20"/>
          <w:szCs w:val="20"/>
        </w:rPr>
        <w:t xml:space="preserve">2021, vol. 19(1), </w:t>
      </w:r>
      <w:r w:rsidRPr="00A616AC">
        <w:rPr>
          <w:rFonts w:ascii="Times New Roman" w:hAnsi="Times New Roman"/>
          <w:b/>
          <w:sz w:val="20"/>
          <w:szCs w:val="20"/>
        </w:rPr>
        <w:t xml:space="preserve">DOI: </w:t>
      </w:r>
      <w:hyperlink r:id="rId11" w:history="1">
        <w:r w:rsidRPr="00A616AC">
          <w:rPr>
            <w:rFonts w:ascii="Times New Roman" w:hAnsi="Times New Roman"/>
            <w:b/>
            <w:sz w:val="20"/>
            <w:szCs w:val="20"/>
            <w:shd w:val="clear" w:color="auto" w:fill="FFFFFF"/>
          </w:rPr>
          <w:t>https://doi.org/10.4335/19.1.111-129(2021)</w:t>
        </w:r>
      </w:hyperlink>
      <w:r w:rsidRPr="00A616AC">
        <w:rPr>
          <w:rFonts w:ascii="Times New Roman" w:hAnsi="Times New Roman"/>
          <w:sz w:val="20"/>
          <w:szCs w:val="20"/>
        </w:rPr>
        <w:t>.</w:t>
      </w:r>
    </w:p>
    <w:p w14:paraId="309F4E7F" w14:textId="2FC34D46" w:rsidR="00712492" w:rsidRDefault="00712492" w:rsidP="00E62C3E">
      <w:pPr>
        <w:spacing w:line="240" w:lineRule="auto"/>
        <w:rPr>
          <w:rFonts w:ascii="Times" w:hAnsi="Times"/>
          <w:color w:val="44546A" w:themeColor="text2"/>
          <w:sz w:val="24"/>
          <w:szCs w:val="24"/>
        </w:rPr>
      </w:pPr>
    </w:p>
    <w:p w14:paraId="72784B19" w14:textId="1C77CE39" w:rsidR="00E04DD0" w:rsidRPr="00A915BE" w:rsidRDefault="0074350E" w:rsidP="00074CEC">
      <w:pPr>
        <w:spacing w:after="0" w:line="240" w:lineRule="auto"/>
        <w:contextualSpacing/>
        <w:jc w:val="both"/>
        <w:rPr>
          <w:rFonts w:ascii="Times New Roman" w:hAnsi="Times New Roman"/>
          <w:smallCaps/>
          <w:sz w:val="20"/>
          <w:szCs w:val="20"/>
          <w:lang w:val="pl-PL"/>
        </w:rPr>
      </w:pPr>
      <w:r w:rsidRPr="00A915BE">
        <w:rPr>
          <w:rFonts w:ascii="Times New Roman" w:hAnsi="Times New Roman"/>
          <w:smallCaps/>
          <w:sz w:val="20"/>
          <w:szCs w:val="20"/>
          <w:lang w:val="pl-PL"/>
        </w:rPr>
        <w:t>Akty prawne</w:t>
      </w:r>
    </w:p>
    <w:p w14:paraId="3B2F2C63" w14:textId="77777777" w:rsidR="00074CEC" w:rsidRPr="00A915BE" w:rsidRDefault="00074CEC" w:rsidP="00074CEC">
      <w:pPr>
        <w:spacing w:after="0" w:line="240" w:lineRule="auto"/>
        <w:contextualSpacing/>
        <w:jc w:val="both"/>
        <w:rPr>
          <w:rFonts w:ascii="Times New Roman" w:hAnsi="Times New Roman"/>
          <w:smallCaps/>
          <w:sz w:val="20"/>
          <w:szCs w:val="20"/>
          <w:lang w:val="pl-PL"/>
        </w:rPr>
      </w:pPr>
    </w:p>
    <w:p w14:paraId="25DBCB20" w14:textId="77777777" w:rsidR="0016725E" w:rsidRPr="00A567D8" w:rsidRDefault="0016725E" w:rsidP="0016725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val="pl-PL"/>
        </w:rPr>
      </w:pPr>
      <w:r w:rsidRPr="00A567D8">
        <w:rPr>
          <w:rFonts w:ascii="Times New Roman" w:eastAsia="Times New Roman" w:hAnsi="Times New Roman"/>
          <w:sz w:val="20"/>
          <w:szCs w:val="20"/>
          <w:lang w:val="pl-PL"/>
        </w:rPr>
        <w:t>Komunikat Komisji do Parlamentu Europejskiego i Rady z dnia 23 stycznia 2006 r. w sprawie Wspólnotowego planu działań dotyczącego ochrony i dobrostanu zwierząt na lata 2006–2010 (KOM/2006/13).</w:t>
      </w:r>
    </w:p>
    <w:p w14:paraId="432E0A5B" w14:textId="77777777" w:rsidR="00325681" w:rsidRPr="00D328EA" w:rsidRDefault="00325681" w:rsidP="0032568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15CAECF6" w14:textId="5FD6815F" w:rsidR="00325681" w:rsidRPr="00074CEC" w:rsidRDefault="00325681" w:rsidP="0032568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074CEC">
        <w:rPr>
          <w:rFonts w:ascii="Times New Roman" w:hAnsi="Times New Roman"/>
          <w:sz w:val="20"/>
          <w:szCs w:val="20"/>
          <w:lang w:val="pl-PL"/>
        </w:rPr>
        <w:t xml:space="preserve">Konstytucja Rzeczypospolitej Polskiej z dnia 2 kwietnia 1997 r. (Dz.U. 1997, nr 78, poz. 483 z </w:t>
      </w:r>
      <w:proofErr w:type="spellStart"/>
      <w:r w:rsidRPr="00074CEC">
        <w:rPr>
          <w:rFonts w:ascii="Times New Roman" w:hAnsi="Times New Roman"/>
          <w:sz w:val="20"/>
          <w:szCs w:val="20"/>
          <w:lang w:val="pl-PL"/>
        </w:rPr>
        <w:t>późn</w:t>
      </w:r>
      <w:proofErr w:type="spellEnd"/>
      <w:r w:rsidRPr="00074CEC">
        <w:rPr>
          <w:rFonts w:ascii="Times New Roman" w:hAnsi="Times New Roman"/>
          <w:sz w:val="20"/>
          <w:szCs w:val="20"/>
          <w:lang w:val="pl-PL"/>
        </w:rPr>
        <w:t>. zm.).</w:t>
      </w:r>
    </w:p>
    <w:p w14:paraId="66DF10D1" w14:textId="77777777" w:rsidR="00163C7D" w:rsidRDefault="00163C7D" w:rsidP="0016725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65E2CC77" w14:textId="5C593F52" w:rsidR="0016725E" w:rsidRPr="00325681" w:rsidRDefault="0016725E" w:rsidP="0016725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325681">
        <w:rPr>
          <w:rFonts w:ascii="Times New Roman" w:hAnsi="Times New Roman"/>
          <w:sz w:val="20"/>
          <w:szCs w:val="20"/>
          <w:lang w:val="pl-PL"/>
        </w:rPr>
        <w:t>Ustawa z dnia 26 czerwca 1976 r. – Kodeks pracy (</w:t>
      </w:r>
      <w:proofErr w:type="spellStart"/>
      <w:r w:rsidRPr="00325681">
        <w:rPr>
          <w:rFonts w:ascii="Times New Roman" w:hAnsi="Times New Roman"/>
          <w:sz w:val="20"/>
          <w:szCs w:val="20"/>
          <w:lang w:val="pl-PL"/>
        </w:rPr>
        <w:t>t.j</w:t>
      </w:r>
      <w:proofErr w:type="spellEnd"/>
      <w:r w:rsidRPr="00325681">
        <w:rPr>
          <w:rFonts w:ascii="Times New Roman" w:hAnsi="Times New Roman"/>
          <w:sz w:val="20"/>
          <w:szCs w:val="20"/>
          <w:lang w:val="pl-PL"/>
        </w:rPr>
        <w:t>. Dz.U. 2019, poz. 1040 ze zm.).</w:t>
      </w:r>
    </w:p>
    <w:p w14:paraId="2AF6E26D" w14:textId="77777777" w:rsidR="00163C7D" w:rsidRDefault="00163C7D" w:rsidP="00163C7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val="pl-PL"/>
        </w:rPr>
      </w:pPr>
    </w:p>
    <w:p w14:paraId="481A87D9" w14:textId="5FF73D48" w:rsidR="00163C7D" w:rsidRPr="00A567D8" w:rsidRDefault="00163C7D" w:rsidP="00163C7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val="pl-PL"/>
        </w:rPr>
      </w:pPr>
      <w:r w:rsidRPr="00A567D8">
        <w:rPr>
          <w:rFonts w:ascii="Times New Roman" w:eastAsia="Times New Roman" w:hAnsi="Times New Roman"/>
          <w:sz w:val="20"/>
          <w:szCs w:val="20"/>
          <w:lang w:val="pl-PL"/>
        </w:rPr>
        <w:t>Oświadczenie pisemne Parlamentu Europejskiego z dnia 13 października 2011 r. w sprawie zarządzania populacją psów w Unii Europejskiej (P7_TA(2011)0444) (</w:t>
      </w:r>
      <w:proofErr w:type="spellStart"/>
      <w:r w:rsidRPr="00A567D8">
        <w:rPr>
          <w:rFonts w:ascii="Times New Roman" w:eastAsia="Times New Roman" w:hAnsi="Times New Roman"/>
          <w:sz w:val="20"/>
          <w:szCs w:val="20"/>
          <w:lang w:val="pl-PL"/>
        </w:rPr>
        <w:t>Dz.Urz</w:t>
      </w:r>
      <w:proofErr w:type="spellEnd"/>
      <w:r w:rsidRPr="00A567D8">
        <w:rPr>
          <w:rFonts w:ascii="Times New Roman" w:eastAsia="Times New Roman" w:hAnsi="Times New Roman"/>
          <w:sz w:val="20"/>
          <w:szCs w:val="20"/>
          <w:lang w:val="pl-PL"/>
        </w:rPr>
        <w:t>. UE 2013/C 94 E/05).</w:t>
      </w:r>
    </w:p>
    <w:p w14:paraId="3CDA5CB5" w14:textId="77777777" w:rsidR="00163C7D" w:rsidRPr="00A567D8" w:rsidRDefault="00163C7D" w:rsidP="00163C7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val="pl-PL"/>
        </w:rPr>
      </w:pPr>
    </w:p>
    <w:p w14:paraId="20237388" w14:textId="77777777" w:rsidR="00163C7D" w:rsidRPr="00A567D8" w:rsidRDefault="00163C7D" w:rsidP="00163C7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val="pl-PL"/>
        </w:rPr>
      </w:pPr>
      <w:r w:rsidRPr="00A567D8">
        <w:rPr>
          <w:rFonts w:ascii="Times New Roman" w:eastAsia="Times New Roman" w:hAnsi="Times New Roman"/>
          <w:sz w:val="20"/>
          <w:szCs w:val="20"/>
          <w:lang w:val="pl-PL"/>
        </w:rPr>
        <w:t>Rezolucja Parlamentu Europejskiego w sprawie Wspólnotowego planu działań dotyczącego ochrony i dobrostanu zwierząt na lata 2006–2010 (2006/2046(INI)) (</w:t>
      </w:r>
      <w:proofErr w:type="spellStart"/>
      <w:r w:rsidRPr="00A567D8">
        <w:rPr>
          <w:rFonts w:ascii="Times New Roman" w:eastAsia="Times New Roman" w:hAnsi="Times New Roman"/>
          <w:sz w:val="20"/>
          <w:szCs w:val="20"/>
          <w:lang w:val="pl-PL"/>
        </w:rPr>
        <w:t>Dz.Urz</w:t>
      </w:r>
      <w:proofErr w:type="spellEnd"/>
      <w:r w:rsidRPr="00A567D8">
        <w:rPr>
          <w:rFonts w:ascii="Times New Roman" w:eastAsia="Times New Roman" w:hAnsi="Times New Roman"/>
          <w:sz w:val="20"/>
          <w:szCs w:val="20"/>
          <w:lang w:val="pl-PL"/>
        </w:rPr>
        <w:t>. UE C 308 E, 16.12.2006).</w:t>
      </w:r>
    </w:p>
    <w:p w14:paraId="24F14EF1" w14:textId="77777777" w:rsidR="00325681" w:rsidRPr="00074CEC" w:rsidRDefault="00325681" w:rsidP="0032568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586E4885" w14:textId="77777777" w:rsidR="00325681" w:rsidRPr="00074CEC" w:rsidRDefault="00325681" w:rsidP="0032568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074CEC">
        <w:rPr>
          <w:rFonts w:ascii="Times New Roman" w:hAnsi="Times New Roman"/>
          <w:sz w:val="20"/>
          <w:szCs w:val="20"/>
          <w:lang w:val="pl-PL"/>
        </w:rPr>
        <w:t>Rozporządzenie Ministra Zdrowia z dnia 13 marca 2020 r. w sprawie ogłoszenia na obszarze Rzeczypospolitej Polskiej stanu zagrożenia epidemicznego (Dz.U. 2020, poz. 4233).</w:t>
      </w:r>
    </w:p>
    <w:p w14:paraId="2F75B376" w14:textId="77777777" w:rsidR="00926E8C" w:rsidRDefault="00926E8C" w:rsidP="00926E8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3F088EE3" w14:textId="465E6C83" w:rsidR="00926E8C" w:rsidRPr="00325681" w:rsidRDefault="00926E8C" w:rsidP="00926E8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325681">
        <w:rPr>
          <w:rFonts w:ascii="Times New Roman" w:hAnsi="Times New Roman"/>
          <w:sz w:val="20"/>
          <w:szCs w:val="20"/>
          <w:lang w:val="pl-PL"/>
        </w:rPr>
        <w:t>Ustawa z dnia 26 czerwca 1976 r. – Kodeks pracy (</w:t>
      </w:r>
      <w:proofErr w:type="spellStart"/>
      <w:r w:rsidRPr="00325681">
        <w:rPr>
          <w:rFonts w:ascii="Times New Roman" w:hAnsi="Times New Roman"/>
          <w:sz w:val="20"/>
          <w:szCs w:val="20"/>
          <w:lang w:val="pl-PL"/>
        </w:rPr>
        <w:t>t.j</w:t>
      </w:r>
      <w:proofErr w:type="spellEnd"/>
      <w:r w:rsidRPr="00325681">
        <w:rPr>
          <w:rFonts w:ascii="Times New Roman" w:hAnsi="Times New Roman"/>
          <w:sz w:val="20"/>
          <w:szCs w:val="20"/>
          <w:lang w:val="pl-PL"/>
        </w:rPr>
        <w:t>. Dz.U. 2019, poz. 1040 ze zm.).</w:t>
      </w:r>
    </w:p>
    <w:p w14:paraId="6F5CDF69" w14:textId="77777777" w:rsidR="00163C7D" w:rsidRDefault="00163C7D" w:rsidP="0074350E">
      <w:pPr>
        <w:spacing w:after="0" w:line="240" w:lineRule="auto"/>
        <w:contextualSpacing/>
        <w:jc w:val="both"/>
        <w:rPr>
          <w:rFonts w:ascii="Times" w:hAnsi="Times"/>
          <w:color w:val="44546A" w:themeColor="text2"/>
          <w:sz w:val="24"/>
          <w:szCs w:val="24"/>
          <w:lang w:val="pl-PL"/>
        </w:rPr>
      </w:pPr>
    </w:p>
    <w:p w14:paraId="4F27A3FD" w14:textId="60169535" w:rsidR="00BC2F19" w:rsidRPr="00BC2F19" w:rsidRDefault="0074350E" w:rsidP="00BC2F19">
      <w:pPr>
        <w:spacing w:after="0" w:line="240" w:lineRule="auto"/>
        <w:contextualSpacing/>
        <w:jc w:val="both"/>
        <w:rPr>
          <w:rFonts w:ascii="Times New Roman" w:hAnsi="Times New Roman"/>
          <w:smallCaps/>
          <w:sz w:val="20"/>
          <w:szCs w:val="20"/>
          <w:lang w:val="pl-PL"/>
        </w:rPr>
      </w:pPr>
      <w:r w:rsidRPr="00A567D8">
        <w:rPr>
          <w:rFonts w:ascii="Times New Roman" w:hAnsi="Times New Roman"/>
          <w:smallCaps/>
          <w:sz w:val="20"/>
          <w:szCs w:val="20"/>
          <w:lang w:val="pl-PL"/>
        </w:rPr>
        <w:t>Orzecznictwo</w:t>
      </w:r>
    </w:p>
    <w:p w14:paraId="3A7C9138" w14:textId="77777777" w:rsidR="00BC2F19" w:rsidRDefault="00BC2F19" w:rsidP="0074350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16A9BD27" w14:textId="77777777" w:rsidR="00BC2F19" w:rsidRPr="00BC2F19" w:rsidRDefault="00BC2F19" w:rsidP="00BC2F19">
      <w:pPr>
        <w:spacing w:after="0" w:line="240" w:lineRule="auto"/>
        <w:rPr>
          <w:rFonts w:ascii="Times" w:hAnsi="Times"/>
          <w:sz w:val="20"/>
          <w:szCs w:val="20"/>
          <w:lang w:val="pl-PL"/>
        </w:rPr>
      </w:pPr>
      <w:r w:rsidRPr="00BC2F19">
        <w:rPr>
          <w:rFonts w:ascii="Times" w:hAnsi="Times"/>
          <w:sz w:val="20"/>
          <w:szCs w:val="20"/>
          <w:lang w:val="pl-PL"/>
        </w:rPr>
        <w:t>Wyrok NSA z dnia 30 stycznia 2018 r., II OSK 2618/17, LEX nr 2469308.</w:t>
      </w:r>
    </w:p>
    <w:p w14:paraId="08CA4B5A" w14:textId="77777777" w:rsidR="00BC2F19" w:rsidRPr="00BC2F19" w:rsidRDefault="00BC2F19" w:rsidP="00BC2F19">
      <w:pPr>
        <w:spacing w:after="0" w:line="240" w:lineRule="auto"/>
        <w:rPr>
          <w:rFonts w:ascii="Times" w:hAnsi="Times"/>
          <w:sz w:val="20"/>
          <w:szCs w:val="20"/>
          <w:lang w:val="pl-PL"/>
        </w:rPr>
      </w:pPr>
    </w:p>
    <w:p w14:paraId="53B9686D" w14:textId="77777777" w:rsidR="00BC2F19" w:rsidRPr="00BC2F19" w:rsidRDefault="00BC2F19" w:rsidP="00BC2F19">
      <w:pPr>
        <w:spacing w:after="0" w:line="240" w:lineRule="auto"/>
        <w:rPr>
          <w:rFonts w:ascii="Times" w:hAnsi="Times"/>
          <w:sz w:val="20"/>
          <w:szCs w:val="20"/>
          <w:lang w:val="pl-PL"/>
        </w:rPr>
      </w:pPr>
      <w:r w:rsidRPr="00BC2F19">
        <w:rPr>
          <w:rFonts w:ascii="Times" w:hAnsi="Times"/>
          <w:sz w:val="20"/>
          <w:szCs w:val="20"/>
          <w:lang w:val="pl-PL"/>
        </w:rPr>
        <w:t>Wyrok NSA z dnia 10 kwietnia 2018 r., II OSK 3194/17, LEX nr 2479775.</w:t>
      </w:r>
    </w:p>
    <w:p w14:paraId="3A4F7E36" w14:textId="77777777" w:rsidR="00BC2F19" w:rsidRDefault="00BC2F19" w:rsidP="0074350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7ED58D52" w14:textId="7D517DAE" w:rsidR="0074350E" w:rsidRPr="0074350E" w:rsidRDefault="0074350E" w:rsidP="0074350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74350E">
        <w:rPr>
          <w:rFonts w:ascii="Times New Roman" w:hAnsi="Times New Roman"/>
          <w:sz w:val="20"/>
          <w:szCs w:val="20"/>
          <w:lang w:val="pl-PL"/>
        </w:rPr>
        <w:t>Wyrok SA w Gdańsku z dnia 21 grudnia 2016 r., III Au/12/9316, LEX 2191588.</w:t>
      </w:r>
    </w:p>
    <w:p w14:paraId="619B8EB7" w14:textId="77777777" w:rsidR="0074350E" w:rsidRPr="0074350E" w:rsidRDefault="0074350E" w:rsidP="0074350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27BEF7BF" w14:textId="77777777" w:rsidR="0074350E" w:rsidRPr="0074350E" w:rsidRDefault="0074350E" w:rsidP="0074350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74350E">
        <w:rPr>
          <w:rFonts w:ascii="Times New Roman" w:hAnsi="Times New Roman"/>
          <w:sz w:val="20"/>
          <w:szCs w:val="20"/>
          <w:lang w:val="pl-PL"/>
        </w:rPr>
        <w:t>Wyrok SN z dnia 19 kwietnia 2010 r., II PK 310/09, LEX nr 602698.</w:t>
      </w:r>
    </w:p>
    <w:p w14:paraId="64331820" w14:textId="77777777" w:rsidR="0074350E" w:rsidRPr="0074350E" w:rsidRDefault="0074350E" w:rsidP="0074350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1731773E" w14:textId="77777777" w:rsidR="0074350E" w:rsidRPr="0074350E" w:rsidRDefault="0074350E" w:rsidP="0074350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74350E">
        <w:rPr>
          <w:rFonts w:ascii="Times New Roman" w:hAnsi="Times New Roman"/>
          <w:sz w:val="20"/>
          <w:szCs w:val="20"/>
          <w:lang w:val="pl-PL"/>
        </w:rPr>
        <w:t xml:space="preserve">Wyrok SN z dnia 10 października 2019 </w:t>
      </w:r>
      <w:proofErr w:type="gramStart"/>
      <w:r w:rsidRPr="0074350E">
        <w:rPr>
          <w:rFonts w:ascii="Times New Roman" w:hAnsi="Times New Roman"/>
          <w:sz w:val="20"/>
          <w:szCs w:val="20"/>
          <w:lang w:val="pl-PL"/>
        </w:rPr>
        <w:t>r.,</w:t>
      </w:r>
      <w:proofErr w:type="gramEnd"/>
      <w:r w:rsidRPr="0074350E">
        <w:rPr>
          <w:rFonts w:ascii="Times New Roman" w:hAnsi="Times New Roman"/>
          <w:sz w:val="20"/>
          <w:szCs w:val="20"/>
          <w:lang w:val="pl-PL"/>
        </w:rPr>
        <w:t xml:space="preserve"> I PK 196/18, LEX nr 2773243.</w:t>
      </w:r>
    </w:p>
    <w:p w14:paraId="5FB8436A" w14:textId="77777777" w:rsidR="0074350E" w:rsidRPr="0074350E" w:rsidRDefault="0074350E" w:rsidP="0074350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3AFF14B2" w14:textId="77777777" w:rsidR="0074350E" w:rsidRPr="00325681" w:rsidRDefault="0074350E" w:rsidP="0074350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  <w:r w:rsidRPr="00325681">
        <w:rPr>
          <w:rFonts w:ascii="Times New Roman" w:hAnsi="Times New Roman"/>
          <w:sz w:val="20"/>
          <w:szCs w:val="20"/>
          <w:lang w:val="pl-PL"/>
        </w:rPr>
        <w:t>Wyrok TK z dnia 13 marca 2000 r., K 1/99, OTK 2000, nr 2, poz. 59.</w:t>
      </w:r>
    </w:p>
    <w:p w14:paraId="05BA06D8" w14:textId="77777777" w:rsidR="00B874D2" w:rsidRDefault="00B874D2" w:rsidP="00B874D2">
      <w:pPr>
        <w:spacing w:after="0" w:line="240" w:lineRule="auto"/>
        <w:rPr>
          <w:sz w:val="20"/>
          <w:szCs w:val="20"/>
          <w:lang w:val="pl-PL"/>
        </w:rPr>
      </w:pPr>
    </w:p>
    <w:p w14:paraId="7568AFC5" w14:textId="1BE6F10B" w:rsidR="00B874D2" w:rsidRPr="00B874D2" w:rsidRDefault="00B874D2" w:rsidP="00B874D2">
      <w:pPr>
        <w:spacing w:after="0" w:line="240" w:lineRule="auto"/>
        <w:rPr>
          <w:rFonts w:ascii="Times" w:hAnsi="Times"/>
          <w:sz w:val="20"/>
          <w:szCs w:val="20"/>
          <w:lang w:val="pl-PL"/>
        </w:rPr>
      </w:pPr>
      <w:r w:rsidRPr="00B874D2">
        <w:rPr>
          <w:rFonts w:ascii="Times" w:hAnsi="Times"/>
          <w:sz w:val="20"/>
          <w:szCs w:val="20"/>
          <w:lang w:val="pl-PL"/>
        </w:rPr>
        <w:t>Wyrok WSA w Rzeszowie z dnia 13 lipca 2010 r., II SAB/</w:t>
      </w:r>
      <w:proofErr w:type="spellStart"/>
      <w:r w:rsidRPr="00B874D2">
        <w:rPr>
          <w:rFonts w:ascii="Times" w:hAnsi="Times"/>
          <w:sz w:val="20"/>
          <w:szCs w:val="20"/>
          <w:lang w:val="pl-PL"/>
        </w:rPr>
        <w:t>Rz</w:t>
      </w:r>
      <w:proofErr w:type="spellEnd"/>
      <w:r w:rsidRPr="00B874D2">
        <w:rPr>
          <w:rFonts w:ascii="Times" w:hAnsi="Times"/>
          <w:sz w:val="20"/>
          <w:szCs w:val="20"/>
          <w:lang w:val="pl-PL"/>
        </w:rPr>
        <w:t xml:space="preserve"> 29/10, LEX nr 602398.</w:t>
      </w:r>
    </w:p>
    <w:p w14:paraId="4C2C18FE" w14:textId="77777777" w:rsidR="00B874D2" w:rsidRPr="00B874D2" w:rsidRDefault="00B874D2" w:rsidP="00B874D2">
      <w:pPr>
        <w:spacing w:after="0" w:line="240" w:lineRule="auto"/>
        <w:rPr>
          <w:rFonts w:ascii="Times" w:hAnsi="Times"/>
          <w:sz w:val="20"/>
          <w:szCs w:val="20"/>
          <w:lang w:val="pl-PL"/>
        </w:rPr>
      </w:pPr>
    </w:p>
    <w:p w14:paraId="52C7AF00" w14:textId="77777777" w:rsidR="00B874D2" w:rsidRPr="00B874D2" w:rsidRDefault="00B874D2" w:rsidP="00B874D2">
      <w:pPr>
        <w:spacing w:after="0" w:line="240" w:lineRule="auto"/>
        <w:rPr>
          <w:rFonts w:ascii="Times" w:hAnsi="Times"/>
          <w:sz w:val="20"/>
          <w:szCs w:val="20"/>
          <w:lang w:val="pl-PL"/>
        </w:rPr>
      </w:pPr>
      <w:r w:rsidRPr="00B874D2">
        <w:rPr>
          <w:rFonts w:ascii="Times" w:hAnsi="Times"/>
          <w:sz w:val="20"/>
          <w:szCs w:val="20"/>
          <w:lang w:val="pl-PL"/>
        </w:rPr>
        <w:t>Wyrok WSA w Warszawie z dnia 28 października 2015 r., VII SA/</w:t>
      </w:r>
      <w:proofErr w:type="spellStart"/>
      <w:r w:rsidRPr="00B874D2">
        <w:rPr>
          <w:rFonts w:ascii="Times" w:hAnsi="Times"/>
          <w:sz w:val="20"/>
          <w:szCs w:val="20"/>
          <w:lang w:val="pl-PL"/>
        </w:rPr>
        <w:t>Wa</w:t>
      </w:r>
      <w:proofErr w:type="spellEnd"/>
      <w:r w:rsidRPr="00B874D2">
        <w:rPr>
          <w:rFonts w:ascii="Times" w:hAnsi="Times"/>
          <w:sz w:val="20"/>
          <w:szCs w:val="20"/>
          <w:lang w:val="pl-PL"/>
        </w:rPr>
        <w:t xml:space="preserve"> 1565/15, LEX nr 1941339.</w:t>
      </w:r>
    </w:p>
    <w:p w14:paraId="2E013185" w14:textId="5FFDD5AF" w:rsidR="0074350E" w:rsidRDefault="0074350E" w:rsidP="00E62C3E">
      <w:pPr>
        <w:spacing w:line="240" w:lineRule="auto"/>
        <w:rPr>
          <w:rFonts w:ascii="Times" w:hAnsi="Times"/>
          <w:color w:val="44546A" w:themeColor="text2"/>
          <w:sz w:val="24"/>
          <w:szCs w:val="24"/>
          <w:lang w:val="pl-PL"/>
        </w:rPr>
      </w:pPr>
    </w:p>
    <w:p w14:paraId="27FB7949" w14:textId="77777777" w:rsidR="00B874D2" w:rsidRPr="00325681" w:rsidRDefault="00B874D2" w:rsidP="00E62C3E">
      <w:pPr>
        <w:spacing w:line="240" w:lineRule="auto"/>
        <w:rPr>
          <w:rFonts w:ascii="Times" w:hAnsi="Times"/>
          <w:color w:val="44546A" w:themeColor="text2"/>
          <w:sz w:val="24"/>
          <w:szCs w:val="24"/>
          <w:lang w:val="pl-PL"/>
        </w:rPr>
      </w:pPr>
    </w:p>
    <w:sectPr w:rsidR="00B874D2" w:rsidRPr="00325681" w:rsidSect="00950334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8D72A" w14:textId="77777777" w:rsidR="00BE3173" w:rsidRDefault="00BE3173" w:rsidP="00BA1F60">
      <w:pPr>
        <w:spacing w:after="0" w:line="240" w:lineRule="auto"/>
      </w:pPr>
      <w:r>
        <w:separator/>
      </w:r>
    </w:p>
  </w:endnote>
  <w:endnote w:type="continuationSeparator" w:id="0">
    <w:p w14:paraId="1BB57EDA" w14:textId="77777777" w:rsidR="00BE3173" w:rsidRDefault="00BE3173" w:rsidP="00B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780067555"/>
      <w:docPartObj>
        <w:docPartGallery w:val="Page Numbers (Bottom of Page)"/>
        <w:docPartUnique/>
      </w:docPartObj>
    </w:sdtPr>
    <w:sdtContent>
      <w:p w14:paraId="52FF8EBD" w14:textId="5CFFC6D8" w:rsidR="009761F1" w:rsidRDefault="009761F1" w:rsidP="00720D1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4650863" w14:textId="77777777" w:rsidR="009761F1" w:rsidRDefault="009761F1" w:rsidP="009761F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116365054"/>
      <w:docPartObj>
        <w:docPartGallery w:val="Page Numbers (Bottom of Page)"/>
        <w:docPartUnique/>
      </w:docPartObj>
    </w:sdtPr>
    <w:sdtContent>
      <w:p w14:paraId="4106F37D" w14:textId="2E2AC5B4" w:rsidR="009761F1" w:rsidRDefault="009761F1" w:rsidP="00720D1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35C8FD6" w14:textId="77777777" w:rsidR="009761F1" w:rsidRDefault="009761F1" w:rsidP="009761F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743D4" w14:textId="77777777" w:rsidR="00BE3173" w:rsidRDefault="00BE3173" w:rsidP="00BA1F60">
      <w:pPr>
        <w:spacing w:after="0" w:line="240" w:lineRule="auto"/>
      </w:pPr>
      <w:r>
        <w:separator/>
      </w:r>
    </w:p>
  </w:footnote>
  <w:footnote w:type="continuationSeparator" w:id="0">
    <w:p w14:paraId="4C5AC039" w14:textId="77777777" w:rsidR="00BE3173" w:rsidRDefault="00BE3173" w:rsidP="00BA1F60">
      <w:pPr>
        <w:spacing w:after="0" w:line="240" w:lineRule="auto"/>
      </w:pPr>
      <w:r>
        <w:continuationSeparator/>
      </w:r>
    </w:p>
  </w:footnote>
  <w:footnote w:id="1">
    <w:p w14:paraId="53BB9356" w14:textId="243AB11E" w:rsidR="00F9593E" w:rsidRDefault="00F9593E">
      <w:pPr>
        <w:pStyle w:val="Tekstprzypisudolnego"/>
        <w:rPr>
          <w:rFonts w:ascii="Times" w:hAnsi="Times"/>
        </w:rPr>
      </w:pPr>
      <w:r w:rsidRPr="00F9593E">
        <w:rPr>
          <w:rFonts w:ascii="Times" w:hAnsi="Times"/>
        </w:rPr>
        <w:t>CORRESPONDENCE ADDRESS: John Smith, PhD, Assistant Professor, Maria Curie-Skłodowska University (Lublin), Faculty of Law and Administration, Institute of Law, Plac Marii Curie-Skłodowskiej 5, 20-031 Lublin, Poland.</w:t>
      </w:r>
    </w:p>
    <w:p w14:paraId="58E9C25C" w14:textId="5A56EC7E" w:rsidR="00BA407C" w:rsidRPr="00BA407C" w:rsidRDefault="00BA407C">
      <w:pPr>
        <w:pStyle w:val="Tekstprzypisudolnego"/>
        <w:rPr>
          <w:rFonts w:ascii="Times" w:hAnsi="Times"/>
          <w:lang w:val="en-US"/>
        </w:rPr>
      </w:pPr>
      <w:r w:rsidRPr="00BA407C">
        <w:rPr>
          <w:rStyle w:val="Odwoanieprzypisudolnego"/>
          <w:rFonts w:ascii="Times" w:hAnsi="Times"/>
        </w:rPr>
        <w:footnoteRef/>
      </w:r>
      <w:r w:rsidRPr="00BA407C">
        <w:rPr>
          <w:rFonts w:ascii="Times" w:hAnsi="Times"/>
        </w:rPr>
        <w:t xml:space="preserve"> E. </w:t>
      </w:r>
      <w:r w:rsidRPr="00BA407C">
        <w:rPr>
          <w:rFonts w:ascii="Times" w:hAnsi="Times"/>
          <w:bCs/>
          <w:iCs/>
          <w:lang w:val="en-US"/>
        </w:rPr>
        <w:t xml:space="preserve">Ausems, </w:t>
      </w:r>
      <w:r w:rsidRPr="00BA407C">
        <w:rPr>
          <w:rFonts w:ascii="Times" w:hAnsi="Times"/>
          <w:bCs/>
          <w:i/>
          <w:iCs/>
          <w:lang w:val="en-US"/>
        </w:rPr>
        <w:t>The Council of Europe and animal welfare</w:t>
      </w:r>
      <w:r w:rsidRPr="00BA407C">
        <w:rPr>
          <w:rFonts w:ascii="Times" w:hAnsi="Times"/>
          <w:bCs/>
          <w:iCs/>
          <w:lang w:val="en-US"/>
        </w:rPr>
        <w:t xml:space="preserve">, [in:] </w:t>
      </w:r>
      <w:r w:rsidRPr="00BA407C">
        <w:rPr>
          <w:rFonts w:ascii="Times" w:hAnsi="Times"/>
          <w:bCs/>
          <w:i/>
          <w:iCs/>
          <w:lang w:val="en-US"/>
        </w:rPr>
        <w:t>Ethical Eye: Animal Welfare</w:t>
      </w:r>
      <w:r w:rsidRPr="00BA407C">
        <w:rPr>
          <w:rFonts w:ascii="Times" w:hAnsi="Times"/>
          <w:bCs/>
          <w:iCs/>
          <w:lang w:val="en-US"/>
        </w:rPr>
        <w:t>, Strasbourg 2006, pp. 249–252</w:t>
      </w:r>
      <w:r w:rsidRPr="00BA407C">
        <w:rPr>
          <w:rFonts w:ascii="Times" w:hAnsi="Times"/>
        </w:rPr>
        <w:t>.</w:t>
      </w:r>
    </w:p>
  </w:footnote>
  <w:footnote w:id="2">
    <w:p w14:paraId="30BF8F99" w14:textId="7B0A3DF5" w:rsidR="0056712E" w:rsidRPr="0056712E" w:rsidRDefault="0056712E">
      <w:pPr>
        <w:pStyle w:val="Tekstprzypisudolnego"/>
        <w:rPr>
          <w:rFonts w:ascii="Times" w:hAnsi="Times"/>
          <w:lang w:val="en-US"/>
        </w:rPr>
      </w:pPr>
      <w:r w:rsidRPr="0056712E">
        <w:rPr>
          <w:rStyle w:val="Odwoanieprzypisudolnego"/>
          <w:rFonts w:ascii="Times" w:hAnsi="Times"/>
        </w:rPr>
        <w:footnoteRef/>
      </w:r>
      <w:r w:rsidRPr="0056712E">
        <w:rPr>
          <w:rFonts w:ascii="Times" w:hAnsi="Times"/>
        </w:rPr>
        <w:t xml:space="preserve"> I. </w:t>
      </w:r>
      <w:r w:rsidRPr="0056712E">
        <w:rPr>
          <w:rFonts w:ascii="Times" w:hAnsi="Times"/>
          <w:bCs/>
          <w:iCs/>
        </w:rPr>
        <w:t>Babińska</w:t>
      </w:r>
      <w:r w:rsidRPr="0056712E">
        <w:rPr>
          <w:rFonts w:ascii="Times" w:hAnsi="Times"/>
          <w:bCs/>
        </w:rPr>
        <w:t xml:space="preserve">, </w:t>
      </w:r>
      <w:r w:rsidRPr="0056712E">
        <w:rPr>
          <w:rFonts w:ascii="Times" w:hAnsi="Times"/>
          <w:bCs/>
          <w:iCs/>
        </w:rPr>
        <w:t>E. Kuczewska</w:t>
      </w:r>
      <w:r w:rsidRPr="0056712E">
        <w:rPr>
          <w:rFonts w:ascii="Times" w:hAnsi="Times"/>
          <w:bCs/>
        </w:rPr>
        <w:t xml:space="preserve">, </w:t>
      </w:r>
      <w:r w:rsidRPr="0056712E">
        <w:rPr>
          <w:rFonts w:ascii="Times" w:hAnsi="Times"/>
          <w:bCs/>
          <w:iCs/>
        </w:rPr>
        <w:t>J. Konkie</w:t>
      </w:r>
      <w:r w:rsidRPr="0056712E">
        <w:rPr>
          <w:rFonts w:ascii="Times" w:hAnsi="Times"/>
          <w:bCs/>
        </w:rPr>
        <w:t xml:space="preserve">, </w:t>
      </w:r>
      <w:r w:rsidRPr="0056712E">
        <w:rPr>
          <w:rFonts w:ascii="Times" w:hAnsi="Times"/>
          <w:bCs/>
          <w:iCs/>
        </w:rPr>
        <w:t>M.Z. Felsmann</w:t>
      </w:r>
      <w:r w:rsidRPr="0056712E">
        <w:rPr>
          <w:rFonts w:ascii="Times" w:hAnsi="Times"/>
          <w:bCs/>
        </w:rPr>
        <w:t xml:space="preserve">, </w:t>
      </w:r>
      <w:r w:rsidRPr="0056712E">
        <w:rPr>
          <w:rFonts w:ascii="Times" w:hAnsi="Times"/>
          <w:bCs/>
          <w:iCs/>
        </w:rPr>
        <w:t>J. Szarek</w:t>
      </w:r>
      <w:r w:rsidRPr="0056712E">
        <w:rPr>
          <w:rFonts w:ascii="Times" w:hAnsi="Times"/>
          <w:bCs/>
        </w:rPr>
        <w:t xml:space="preserve">, </w:t>
      </w:r>
      <w:r w:rsidRPr="0056712E">
        <w:rPr>
          <w:rFonts w:ascii="Times" w:hAnsi="Times"/>
          <w:bCs/>
          <w:iCs/>
        </w:rPr>
        <w:t>K. Popławski</w:t>
      </w:r>
      <w:r w:rsidRPr="0056712E">
        <w:rPr>
          <w:rFonts w:ascii="Times" w:hAnsi="Times"/>
          <w:bCs/>
        </w:rPr>
        <w:t xml:space="preserve">, </w:t>
      </w:r>
      <w:r w:rsidRPr="0056712E">
        <w:rPr>
          <w:rFonts w:ascii="Times" w:hAnsi="Times"/>
          <w:bCs/>
          <w:iCs/>
        </w:rPr>
        <w:t>A. Snarska</w:t>
      </w:r>
      <w:r w:rsidRPr="0056712E">
        <w:rPr>
          <w:rFonts w:ascii="Times" w:hAnsi="Times"/>
          <w:bCs/>
        </w:rPr>
        <w:t xml:space="preserve">, </w:t>
      </w:r>
      <w:r w:rsidRPr="0056712E">
        <w:rPr>
          <w:rFonts w:ascii="Times" w:hAnsi="Times"/>
          <w:bCs/>
          <w:i/>
        </w:rPr>
        <w:t>Selected aspects of humane animal protection in Polish law</w:t>
      </w:r>
      <w:r w:rsidRPr="0056712E">
        <w:rPr>
          <w:rFonts w:ascii="Times" w:hAnsi="Times"/>
          <w:bCs/>
        </w:rPr>
        <w:t>, “Polish Journal of Natural Sciences” 2017, vol. 32(2), pp. 407–419</w:t>
      </w:r>
      <w:r>
        <w:rPr>
          <w:rFonts w:ascii="Times" w:hAnsi="Times"/>
          <w:bCs/>
        </w:rPr>
        <w:t>.</w:t>
      </w:r>
    </w:p>
  </w:footnote>
  <w:footnote w:id="3">
    <w:p w14:paraId="60B48330" w14:textId="5B1CE7D5" w:rsidR="00ED4C1B" w:rsidRPr="00ED4C1B" w:rsidRDefault="00ED4C1B" w:rsidP="00712492">
      <w:pPr>
        <w:pStyle w:val="Tekstprzypisudolnego"/>
        <w:rPr>
          <w:rFonts w:ascii="Times" w:hAnsi="Times"/>
        </w:rPr>
      </w:pPr>
      <w:r w:rsidRPr="00F9593E">
        <w:rPr>
          <w:rFonts w:ascii="Times" w:hAnsi="Times"/>
        </w:rPr>
        <w:t>CORRESPONDENCE ADDRESS: John Smith, PhD, Assistant Professor, Maria Curie-</w:t>
      </w:r>
      <w:r w:rsidRPr="00F9593E">
        <w:rPr>
          <w:rFonts w:ascii="Times" w:hAnsi="Times"/>
        </w:rPr>
        <w:t>Skłodowska University (Lublin), Faculty of Law and Administration, Institute of Law, Plac Marii Curie-Skłodowskiej 5, 20-031 Lublin, Poland.</w:t>
      </w:r>
    </w:p>
    <w:p w14:paraId="13AA0927" w14:textId="2C660402" w:rsidR="00712492" w:rsidRPr="00274E5F" w:rsidRDefault="00712492" w:rsidP="00712492">
      <w:pPr>
        <w:pStyle w:val="Tekstprzypisudolnego"/>
        <w:rPr>
          <w:rFonts w:ascii="Times" w:hAnsi="Times"/>
          <w:lang w:val="hu-HU"/>
        </w:rPr>
      </w:pPr>
      <w:r w:rsidRPr="00274E5F">
        <w:rPr>
          <w:rStyle w:val="Odwoanieprzypisudolnego"/>
          <w:rFonts w:ascii="Times" w:hAnsi="Times"/>
        </w:rPr>
        <w:footnoteRef/>
      </w:r>
      <w:r w:rsidRPr="00274E5F">
        <w:rPr>
          <w:rFonts w:ascii="Times" w:hAnsi="Times"/>
          <w:lang w:val="en-US"/>
        </w:rPr>
        <w:t xml:space="preserve"> </w:t>
      </w:r>
      <w:r w:rsidR="00456282">
        <w:rPr>
          <w:rFonts w:ascii="Times" w:hAnsi="Times"/>
          <w:lang w:val="hu-HU"/>
        </w:rPr>
        <w:t xml:space="preserve">Por. </w:t>
      </w:r>
      <w:r w:rsidRPr="00274E5F">
        <w:rPr>
          <w:rFonts w:ascii="Times" w:hAnsi="Times"/>
          <w:lang w:val="hu-HU"/>
        </w:rPr>
        <w:t xml:space="preserve">J. Kostrubiec, </w:t>
      </w:r>
      <w:r w:rsidRPr="00274E5F">
        <w:rPr>
          <w:rFonts w:ascii="Times" w:hAnsi="Times"/>
          <w:bCs/>
          <w:i/>
          <w:lang w:val="hu-HU"/>
        </w:rPr>
        <w:t>The Role of Public Order Regulations as Acts of Local Law in the Performance of Tasks in the Field of Public Security by Local Self-government in Poland</w:t>
      </w:r>
      <w:r w:rsidRPr="00274E5F">
        <w:rPr>
          <w:rFonts w:ascii="Times" w:hAnsi="Times"/>
          <w:bCs/>
          <w:lang w:val="hu-HU"/>
        </w:rPr>
        <w:t>, “</w:t>
      </w:r>
      <w:r w:rsidRPr="00274E5F">
        <w:rPr>
          <w:rFonts w:ascii="Times" w:hAnsi="Times"/>
          <w:bCs/>
          <w:iCs/>
          <w:lang w:val="hu-HU"/>
        </w:rPr>
        <w:t xml:space="preserve">Lex Localis – Journal of Local Self-government” </w:t>
      </w:r>
      <w:r w:rsidRPr="00274E5F">
        <w:rPr>
          <w:rFonts w:ascii="Times" w:hAnsi="Times"/>
          <w:bCs/>
          <w:lang w:val="hu-HU"/>
        </w:rPr>
        <w:t>2021, vol. 19(1)</w:t>
      </w:r>
      <w:r w:rsidRPr="00274E5F">
        <w:rPr>
          <w:rFonts w:ascii="Times" w:hAnsi="Times"/>
          <w:lang w:val="hu-HU"/>
        </w:rPr>
        <w:t xml:space="preserve">, </w:t>
      </w:r>
      <w:r w:rsidR="00456282">
        <w:rPr>
          <w:rFonts w:ascii="Times" w:hAnsi="Times"/>
          <w:lang w:val="hu-HU"/>
        </w:rPr>
        <w:t>ss</w:t>
      </w:r>
      <w:r w:rsidRPr="00274E5F">
        <w:rPr>
          <w:rFonts w:ascii="Times" w:hAnsi="Times"/>
          <w:lang w:val="hu-HU"/>
        </w:rPr>
        <w:t>. 112–113.</w:t>
      </w:r>
    </w:p>
  </w:footnote>
  <w:footnote w:id="4">
    <w:p w14:paraId="7D2DCB52" w14:textId="0DF2663B" w:rsidR="00712492" w:rsidRPr="003C2DD5" w:rsidRDefault="00712492" w:rsidP="00712492">
      <w:pPr>
        <w:pStyle w:val="Tekstprzypisudolnego"/>
        <w:rPr>
          <w:rFonts w:ascii="Times" w:hAnsi="Times"/>
          <w:lang w:val="pl-PL"/>
        </w:rPr>
      </w:pPr>
      <w:r w:rsidRPr="003C2DD5">
        <w:rPr>
          <w:rStyle w:val="Odwoanieprzypisudolnego"/>
          <w:rFonts w:ascii="Times" w:hAnsi="Times"/>
        </w:rPr>
        <w:footnoteRef/>
      </w:r>
      <w:r w:rsidRPr="003C2DD5">
        <w:rPr>
          <w:rFonts w:ascii="Times" w:hAnsi="Times"/>
          <w:lang w:val="pl-PL"/>
        </w:rPr>
        <w:t xml:space="preserve"> </w:t>
      </w:r>
      <w:r w:rsidRPr="00A567D8">
        <w:rPr>
          <w:rFonts w:ascii="Times New Roman" w:eastAsia="Times New Roman" w:hAnsi="Times New Roman"/>
          <w:lang w:val="pl-PL"/>
        </w:rPr>
        <w:t xml:space="preserve">E. Jachnik, </w:t>
      </w:r>
      <w:r w:rsidRPr="00A567D8">
        <w:rPr>
          <w:rFonts w:ascii="Times New Roman" w:hAnsi="Times New Roman"/>
          <w:i/>
          <w:lang w:val="pl-PL"/>
        </w:rPr>
        <w:t>Zasada dobrostanu zwierząt we Wspólnej Polityce Rolnej Unii Europejskiej</w:t>
      </w:r>
      <w:r w:rsidRPr="00A567D8">
        <w:rPr>
          <w:rFonts w:ascii="Times New Roman" w:hAnsi="Times New Roman"/>
          <w:lang w:val="pl-PL"/>
        </w:rPr>
        <w:t xml:space="preserve">, „Studia </w:t>
      </w:r>
      <w:r w:rsidRPr="00A567D8">
        <w:rPr>
          <w:rFonts w:ascii="Times New Roman" w:hAnsi="Times New Roman"/>
          <w:lang w:val="pl-PL"/>
        </w:rPr>
        <w:t>Iuridica Lublinensia” 2017, vol. 26(1)</w:t>
      </w:r>
      <w:r w:rsidRPr="00A567D8">
        <w:rPr>
          <w:rFonts w:ascii="Times New Roman" w:eastAsia="Times New Roman" w:hAnsi="Times New Roman"/>
          <w:lang w:val="pl-PL"/>
        </w:rPr>
        <w:t xml:space="preserve">, </w:t>
      </w:r>
      <w:r w:rsidR="004822FE">
        <w:rPr>
          <w:rFonts w:ascii="Times New Roman" w:eastAsia="Times New Roman" w:hAnsi="Times New Roman"/>
          <w:lang w:val="pl-PL"/>
        </w:rPr>
        <w:t>s</w:t>
      </w:r>
      <w:r w:rsidRPr="00A567D8">
        <w:rPr>
          <w:rFonts w:ascii="Times New Roman" w:eastAsia="Times New Roman" w:hAnsi="Times New Roman"/>
          <w:lang w:val="pl-PL"/>
        </w:rPr>
        <w:t>. 290</w:t>
      </w:r>
      <w:r>
        <w:rPr>
          <w:rFonts w:ascii="Times New Roman" w:eastAsia="Times New Roman" w:hAnsi="Times New Roman"/>
          <w:lang w:val="pl-PL"/>
        </w:rPr>
        <w:t>.</w:t>
      </w:r>
    </w:p>
  </w:footnote>
  <w:footnote w:id="5">
    <w:p w14:paraId="60DE04CB" w14:textId="75C4C095" w:rsidR="00712492" w:rsidRPr="00F40738" w:rsidRDefault="00712492" w:rsidP="00712492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F40738">
        <w:rPr>
          <w:rStyle w:val="Odwoanieprzypisudolnego"/>
          <w:rFonts w:ascii="Times" w:hAnsi="Times"/>
        </w:rPr>
        <w:footnoteRef/>
      </w:r>
      <w:r w:rsidRPr="00F40738">
        <w:rPr>
          <w:rFonts w:ascii="Times" w:hAnsi="Times"/>
        </w:rPr>
        <w:t xml:space="preserve"> </w:t>
      </w:r>
      <w:r w:rsidRPr="00462E2B">
        <w:rPr>
          <w:rFonts w:ascii="Times New Roman" w:hAnsi="Times New Roman"/>
          <w:sz w:val="20"/>
          <w:szCs w:val="20"/>
        </w:rPr>
        <w:t xml:space="preserve">F. </w:t>
      </w:r>
      <w:r w:rsidRPr="00462E2B">
        <w:rPr>
          <w:rFonts w:ascii="Times New Roman" w:hAnsi="Times New Roman"/>
          <w:sz w:val="20"/>
          <w:szCs w:val="20"/>
        </w:rPr>
        <w:t xml:space="preserve">Gárdos-Orosz, </w:t>
      </w:r>
      <w:r w:rsidRPr="00CC39DD">
        <w:rPr>
          <w:rFonts w:ascii="Times New Roman" w:hAnsi="Times New Roman"/>
          <w:i/>
          <w:sz w:val="20"/>
          <w:szCs w:val="20"/>
        </w:rPr>
        <w:t>COVID-19 and the Responsiveness of the Hungarian Constitutional System</w:t>
      </w:r>
      <w:r w:rsidRPr="00CC39DD">
        <w:rPr>
          <w:rFonts w:ascii="Times New Roman" w:hAnsi="Times New Roman"/>
          <w:sz w:val="20"/>
          <w:szCs w:val="20"/>
        </w:rPr>
        <w:t>, [</w:t>
      </w:r>
      <w:r w:rsidR="00456A7C">
        <w:rPr>
          <w:rFonts w:ascii="Times New Roman" w:hAnsi="Times New Roman"/>
          <w:sz w:val="20"/>
          <w:szCs w:val="20"/>
        </w:rPr>
        <w:t>w</w:t>
      </w:r>
      <w:r w:rsidRPr="00CC39DD">
        <w:rPr>
          <w:rFonts w:ascii="Times New Roman" w:hAnsi="Times New Roman"/>
          <w:sz w:val="20"/>
          <w:szCs w:val="20"/>
        </w:rPr>
        <w:t xml:space="preserve">:] </w:t>
      </w:r>
      <w:r w:rsidRPr="00CC39DD">
        <w:rPr>
          <w:rFonts w:ascii="Times New Roman" w:hAnsi="Times New Roman"/>
          <w:i/>
          <w:iCs/>
          <w:sz w:val="20"/>
          <w:szCs w:val="20"/>
        </w:rPr>
        <w:t>COVID-19 and Constitutional Law</w:t>
      </w:r>
      <w:r w:rsidRPr="00CC39DD">
        <w:rPr>
          <w:rFonts w:ascii="Times New Roman" w:hAnsi="Times New Roman"/>
          <w:iCs/>
          <w:sz w:val="20"/>
          <w:szCs w:val="20"/>
        </w:rPr>
        <w:t xml:space="preserve">, ed. </w:t>
      </w:r>
      <w:r w:rsidRPr="00CC39DD">
        <w:rPr>
          <w:rFonts w:ascii="Times New Roman" w:hAnsi="Times New Roman"/>
          <w:sz w:val="20"/>
          <w:szCs w:val="20"/>
          <w:lang w:val="es-ES"/>
        </w:rPr>
        <w:t>J.M. Serna de la Garza, Ciudad de México 2020</w:t>
      </w:r>
      <w:r w:rsidRPr="00462E2B">
        <w:rPr>
          <w:rFonts w:ascii="Times New Roman" w:hAnsi="Times New Roman"/>
          <w:sz w:val="20"/>
          <w:szCs w:val="20"/>
          <w:lang w:val="es-ES"/>
        </w:rPr>
        <w:t xml:space="preserve">, </w:t>
      </w:r>
      <w:r w:rsidR="004822FE">
        <w:rPr>
          <w:rFonts w:ascii="Times New Roman" w:hAnsi="Times New Roman"/>
          <w:sz w:val="20"/>
          <w:szCs w:val="20"/>
          <w:lang w:val="es-ES"/>
        </w:rPr>
        <w:t>ss</w:t>
      </w:r>
      <w:r w:rsidRPr="00462E2B">
        <w:rPr>
          <w:rFonts w:ascii="Times New Roman" w:hAnsi="Times New Roman"/>
          <w:sz w:val="20"/>
          <w:szCs w:val="20"/>
          <w:lang w:val="es-ES"/>
        </w:rPr>
        <w:t>. 159–161.</w:t>
      </w:r>
      <w:r>
        <w:rPr>
          <w:rFonts w:ascii="Times New Roman" w:hAnsi="Times New Roman"/>
          <w:sz w:val="20"/>
          <w:szCs w:val="20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59393" w14:textId="77777777" w:rsidR="00D673CC" w:rsidRDefault="00D673CC" w:rsidP="00D673CC">
    <w:pPr>
      <w:pStyle w:val="Nagwek"/>
    </w:pPr>
    <w:r w:rsidRPr="00F54E59">
      <w:rPr>
        <w:noProof/>
      </w:rPr>
      <w:drawing>
        <wp:inline distT="0" distB="0" distL="0" distR="0" wp14:anchorId="00B78EB2" wp14:editId="1CE9E189">
          <wp:extent cx="2032612" cy="71181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0142" cy="759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</w:t>
    </w:r>
    <w:r w:rsidRPr="00F00128">
      <w:rPr>
        <w:noProof/>
        <w:vertAlign w:val="subscript"/>
      </w:rPr>
      <w:drawing>
        <wp:inline distT="0" distB="0" distL="0" distR="0" wp14:anchorId="537E1851" wp14:editId="2777AEB6">
          <wp:extent cx="2384214" cy="618919"/>
          <wp:effectExtent l="0" t="0" r="3810" b="381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71026" cy="66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2A64C3" w14:textId="06406AF7" w:rsidR="00BA1F60" w:rsidRPr="00D673CC" w:rsidRDefault="00D673CC">
    <w:pPr>
      <w:pStyle w:val="Nagwek"/>
      <w:rPr>
        <w:sz w:val="18"/>
        <w:szCs w:val="18"/>
        <w:lang w:val="en-US"/>
      </w:rPr>
    </w:pPr>
    <w:r w:rsidRPr="00582D6B">
      <w:rPr>
        <w:sz w:val="18"/>
        <w:szCs w:val="18"/>
        <w:lang w:val="en-US"/>
      </w:rPr>
      <w:t>Faculty of Law and Administration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08"/>
    <w:rsid w:val="0001550D"/>
    <w:rsid w:val="000238B6"/>
    <w:rsid w:val="0005337C"/>
    <w:rsid w:val="00057D53"/>
    <w:rsid w:val="00061E6A"/>
    <w:rsid w:val="00074CEC"/>
    <w:rsid w:val="000B7EE2"/>
    <w:rsid w:val="000D4279"/>
    <w:rsid w:val="000D4A97"/>
    <w:rsid w:val="000F045D"/>
    <w:rsid w:val="00106208"/>
    <w:rsid w:val="00111FB0"/>
    <w:rsid w:val="00112A35"/>
    <w:rsid w:val="001320D6"/>
    <w:rsid w:val="00157DAB"/>
    <w:rsid w:val="00163C7D"/>
    <w:rsid w:val="001656ED"/>
    <w:rsid w:val="0016725E"/>
    <w:rsid w:val="001C28CE"/>
    <w:rsid w:val="001C39C9"/>
    <w:rsid w:val="001D0C65"/>
    <w:rsid w:val="00217DF0"/>
    <w:rsid w:val="00230236"/>
    <w:rsid w:val="00234A1B"/>
    <w:rsid w:val="00235CA1"/>
    <w:rsid w:val="002459DA"/>
    <w:rsid w:val="0026081B"/>
    <w:rsid w:val="00274E5F"/>
    <w:rsid w:val="0027727E"/>
    <w:rsid w:val="002822C0"/>
    <w:rsid w:val="002D65F7"/>
    <w:rsid w:val="002D7632"/>
    <w:rsid w:val="002E7D1C"/>
    <w:rsid w:val="00325681"/>
    <w:rsid w:val="003505AC"/>
    <w:rsid w:val="00351CBE"/>
    <w:rsid w:val="00380CF5"/>
    <w:rsid w:val="00387BCA"/>
    <w:rsid w:val="003C2DD5"/>
    <w:rsid w:val="003C697D"/>
    <w:rsid w:val="003F50A3"/>
    <w:rsid w:val="0041092B"/>
    <w:rsid w:val="00456282"/>
    <w:rsid w:val="00456A7C"/>
    <w:rsid w:val="004822FE"/>
    <w:rsid w:val="004C5A4C"/>
    <w:rsid w:val="004F2CB9"/>
    <w:rsid w:val="00505C77"/>
    <w:rsid w:val="00534245"/>
    <w:rsid w:val="00546B35"/>
    <w:rsid w:val="00550965"/>
    <w:rsid w:val="0055569D"/>
    <w:rsid w:val="0056403F"/>
    <w:rsid w:val="0056712E"/>
    <w:rsid w:val="005C0B9C"/>
    <w:rsid w:val="005C1D02"/>
    <w:rsid w:val="005F43A2"/>
    <w:rsid w:val="006367E5"/>
    <w:rsid w:val="00655341"/>
    <w:rsid w:val="00662B4B"/>
    <w:rsid w:val="00694A13"/>
    <w:rsid w:val="006A0B62"/>
    <w:rsid w:val="006A1B6C"/>
    <w:rsid w:val="006B234B"/>
    <w:rsid w:val="006D3F42"/>
    <w:rsid w:val="00712492"/>
    <w:rsid w:val="0074350E"/>
    <w:rsid w:val="00762A45"/>
    <w:rsid w:val="00790EBD"/>
    <w:rsid w:val="007A07DC"/>
    <w:rsid w:val="007B119C"/>
    <w:rsid w:val="007B178E"/>
    <w:rsid w:val="007C1F5C"/>
    <w:rsid w:val="00801EE2"/>
    <w:rsid w:val="00840819"/>
    <w:rsid w:val="00886EC0"/>
    <w:rsid w:val="00894B71"/>
    <w:rsid w:val="00897464"/>
    <w:rsid w:val="00897860"/>
    <w:rsid w:val="008B50E5"/>
    <w:rsid w:val="008D6706"/>
    <w:rsid w:val="008E191B"/>
    <w:rsid w:val="008E44BD"/>
    <w:rsid w:val="008F06BF"/>
    <w:rsid w:val="00906C58"/>
    <w:rsid w:val="00907AAC"/>
    <w:rsid w:val="00914ADF"/>
    <w:rsid w:val="00926E8C"/>
    <w:rsid w:val="00935D82"/>
    <w:rsid w:val="00950334"/>
    <w:rsid w:val="00951544"/>
    <w:rsid w:val="009555DC"/>
    <w:rsid w:val="009761F1"/>
    <w:rsid w:val="009E07BE"/>
    <w:rsid w:val="009F1515"/>
    <w:rsid w:val="00A41E1F"/>
    <w:rsid w:val="00A42C34"/>
    <w:rsid w:val="00A511C4"/>
    <w:rsid w:val="00A915BE"/>
    <w:rsid w:val="00A9614A"/>
    <w:rsid w:val="00AD1C0F"/>
    <w:rsid w:val="00B14D8C"/>
    <w:rsid w:val="00B323E5"/>
    <w:rsid w:val="00B469D9"/>
    <w:rsid w:val="00B55C3A"/>
    <w:rsid w:val="00B605EE"/>
    <w:rsid w:val="00B647A5"/>
    <w:rsid w:val="00B73839"/>
    <w:rsid w:val="00B74E93"/>
    <w:rsid w:val="00B874D2"/>
    <w:rsid w:val="00BA1F60"/>
    <w:rsid w:val="00BA407C"/>
    <w:rsid w:val="00BA5B2B"/>
    <w:rsid w:val="00BB7C84"/>
    <w:rsid w:val="00BC2F19"/>
    <w:rsid w:val="00BE2304"/>
    <w:rsid w:val="00BE3173"/>
    <w:rsid w:val="00C448FF"/>
    <w:rsid w:val="00C51273"/>
    <w:rsid w:val="00C7707C"/>
    <w:rsid w:val="00CA0F46"/>
    <w:rsid w:val="00CA1C72"/>
    <w:rsid w:val="00CD4CAD"/>
    <w:rsid w:val="00CE4FE0"/>
    <w:rsid w:val="00CF6F35"/>
    <w:rsid w:val="00D14662"/>
    <w:rsid w:val="00D157AE"/>
    <w:rsid w:val="00D31210"/>
    <w:rsid w:val="00D328EA"/>
    <w:rsid w:val="00D52DAD"/>
    <w:rsid w:val="00D5397F"/>
    <w:rsid w:val="00D673CC"/>
    <w:rsid w:val="00DB55B6"/>
    <w:rsid w:val="00DC258D"/>
    <w:rsid w:val="00DC7018"/>
    <w:rsid w:val="00DE70EC"/>
    <w:rsid w:val="00DF55B9"/>
    <w:rsid w:val="00DF5E01"/>
    <w:rsid w:val="00E04DD0"/>
    <w:rsid w:val="00E05FCE"/>
    <w:rsid w:val="00E14F67"/>
    <w:rsid w:val="00E17C47"/>
    <w:rsid w:val="00E2270F"/>
    <w:rsid w:val="00E232C0"/>
    <w:rsid w:val="00E340C5"/>
    <w:rsid w:val="00E4160F"/>
    <w:rsid w:val="00E500F9"/>
    <w:rsid w:val="00E503DF"/>
    <w:rsid w:val="00E50832"/>
    <w:rsid w:val="00E6225D"/>
    <w:rsid w:val="00E62C3E"/>
    <w:rsid w:val="00E6441A"/>
    <w:rsid w:val="00E720C3"/>
    <w:rsid w:val="00E77BB2"/>
    <w:rsid w:val="00EA1110"/>
    <w:rsid w:val="00EB3F1D"/>
    <w:rsid w:val="00EC51FA"/>
    <w:rsid w:val="00ED081A"/>
    <w:rsid w:val="00ED4C1B"/>
    <w:rsid w:val="00F33929"/>
    <w:rsid w:val="00F40738"/>
    <w:rsid w:val="00F44307"/>
    <w:rsid w:val="00F5457D"/>
    <w:rsid w:val="00F54E59"/>
    <w:rsid w:val="00F67B79"/>
    <w:rsid w:val="00F9593E"/>
    <w:rsid w:val="00FE19C7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3E44"/>
  <w15:chartTrackingRefBased/>
  <w15:docId w15:val="{F9A8EB4B-B935-F248-96EA-2ED5976B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8B6"/>
    <w:pPr>
      <w:spacing w:after="160" w:line="259" w:lineRule="auto"/>
    </w:pPr>
    <w:rPr>
      <w:rFonts w:ascii="Calibri" w:eastAsia="Calibri" w:hAnsi="Calibri" w:cs="Times New Roman"/>
      <w:sz w:val="22"/>
      <w:szCs w:val="22"/>
      <w:lang w:val="en-GB" w:eastAsia="en-GB" w:bidi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4E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F6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A1F60"/>
  </w:style>
  <w:style w:type="paragraph" w:styleId="Stopka">
    <w:name w:val="footer"/>
    <w:basedOn w:val="Normalny"/>
    <w:link w:val="StopkaZnak"/>
    <w:uiPriority w:val="99"/>
    <w:unhideWhenUsed/>
    <w:rsid w:val="00BA1F6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pl-PL"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BA1F60"/>
  </w:style>
  <w:style w:type="character" w:styleId="Hipercze">
    <w:name w:val="Hyperlink"/>
    <w:basedOn w:val="Domylnaczcionkaakapitu"/>
    <w:uiPriority w:val="99"/>
    <w:unhideWhenUsed/>
    <w:rsid w:val="003C69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97D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761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40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07C"/>
    <w:rPr>
      <w:rFonts w:ascii="Calibri" w:eastAsia="Calibri" w:hAnsi="Calibri" w:cs="Times New Roman"/>
      <w:sz w:val="20"/>
      <w:szCs w:val="20"/>
      <w:lang w:val="en-GB" w:eastAsia="en-GB" w:bidi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407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74E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 w:bidi="en-GB"/>
    </w:rPr>
  </w:style>
  <w:style w:type="paragraph" w:styleId="Akapitzlist">
    <w:name w:val="List Paragraph"/>
    <w:basedOn w:val="Normalny"/>
    <w:uiPriority w:val="34"/>
    <w:qFormat/>
    <w:rsid w:val="00BB7C84"/>
    <w:pPr>
      <w:spacing w:after="200" w:line="276" w:lineRule="auto"/>
      <w:ind w:left="720"/>
      <w:contextualSpacing/>
    </w:pPr>
    <w:rPr>
      <w:color w:val="00000A"/>
      <w:lang w:val="pl-PL" w:eastAsia="en-US" w:bidi="ar-SA"/>
    </w:rPr>
  </w:style>
  <w:style w:type="paragraph" w:styleId="Bezodstpw">
    <w:name w:val="No Spacing"/>
    <w:uiPriority w:val="1"/>
    <w:qFormat/>
    <w:rsid w:val="00DE70EC"/>
    <w:rPr>
      <w:rFonts w:ascii="Calibri" w:eastAsia="Calibri" w:hAnsi="Calibri" w:cs="Times New Roman"/>
      <w:sz w:val="22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4335/19.1.111-129(2021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4335/19.1.111-129(2021)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F784F5-DA6A-3E4D-9EE5-D957CC33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1509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Kostrubiec</dc:creator>
  <cp:keywords/>
  <dc:description/>
  <cp:lastModifiedBy>Jarosław Kostrubiec</cp:lastModifiedBy>
  <cp:revision>60</cp:revision>
  <dcterms:created xsi:type="dcterms:W3CDTF">2021-06-30T15:47:00Z</dcterms:created>
  <dcterms:modified xsi:type="dcterms:W3CDTF">2022-07-06T16:33:00Z</dcterms:modified>
</cp:coreProperties>
</file>